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7D0" w:rsidRDefault="000827D0" w:rsidP="00D117CC">
      <w:pPr>
        <w:spacing w:after="0" w:line="240" w:lineRule="auto"/>
        <w:jc w:val="center"/>
      </w:pPr>
    </w:p>
    <w:p w:rsidR="000827D0" w:rsidRDefault="000827D0" w:rsidP="00D117CC">
      <w:pPr>
        <w:spacing w:after="0" w:line="240" w:lineRule="auto"/>
        <w:jc w:val="center"/>
      </w:pPr>
    </w:p>
    <w:p w:rsidR="000827D0" w:rsidRDefault="000827D0" w:rsidP="00D117CC">
      <w:pPr>
        <w:spacing w:after="0" w:line="240" w:lineRule="auto"/>
        <w:jc w:val="center"/>
      </w:pPr>
    </w:p>
    <w:p w:rsidR="002E02C4" w:rsidRDefault="002E02C4" w:rsidP="00D117CC">
      <w:pPr>
        <w:spacing w:after="0" w:line="240" w:lineRule="auto"/>
        <w:jc w:val="center"/>
      </w:pPr>
    </w:p>
    <w:p w:rsidR="00D117CC" w:rsidRPr="00D215FB" w:rsidRDefault="003D1457" w:rsidP="00D117CC">
      <w:pPr>
        <w:spacing w:after="0" w:line="240" w:lineRule="auto"/>
        <w:jc w:val="center"/>
        <w:rPr>
          <w:sz w:val="56"/>
          <w:szCs w:val="56"/>
        </w:rPr>
      </w:pPr>
      <w:r w:rsidRPr="00D215FB">
        <w:rPr>
          <w:sz w:val="56"/>
          <w:szCs w:val="56"/>
        </w:rPr>
        <w:t>Stewardship</w:t>
      </w:r>
      <w:r w:rsidR="00D117CC" w:rsidRPr="00D215FB">
        <w:rPr>
          <w:sz w:val="56"/>
          <w:szCs w:val="56"/>
        </w:rPr>
        <w:t xml:space="preserve"> Report</w:t>
      </w:r>
    </w:p>
    <w:p w:rsidR="00D117CC" w:rsidRDefault="00AB1E40" w:rsidP="00C37156">
      <w:pPr>
        <w:spacing w:after="0" w:line="240" w:lineRule="auto"/>
        <w:jc w:val="center"/>
        <w:rPr>
          <w:sz w:val="32"/>
          <w:szCs w:val="32"/>
        </w:rPr>
      </w:pPr>
      <w:r w:rsidRPr="00D117CC">
        <w:rPr>
          <w:sz w:val="32"/>
          <w:szCs w:val="32"/>
        </w:rPr>
        <w:t>Presented</w:t>
      </w:r>
      <w:r w:rsidR="00D117CC" w:rsidRPr="00D117CC">
        <w:rPr>
          <w:sz w:val="32"/>
          <w:szCs w:val="32"/>
        </w:rPr>
        <w:t xml:space="preserve"> to:</w:t>
      </w:r>
    </w:p>
    <w:p w:rsidR="008109FE" w:rsidRPr="00C37156" w:rsidRDefault="008109FE" w:rsidP="00C37156">
      <w:pPr>
        <w:spacing w:after="0" w:line="240" w:lineRule="auto"/>
        <w:jc w:val="center"/>
        <w:rPr>
          <w:sz w:val="32"/>
          <w:szCs w:val="32"/>
        </w:rPr>
      </w:pPr>
    </w:p>
    <w:p w:rsidR="00D117CC" w:rsidRPr="006C485F" w:rsidRDefault="006C485F" w:rsidP="00C37156">
      <w:pPr>
        <w:spacing w:after="0" w:line="240" w:lineRule="auto"/>
        <w:jc w:val="center"/>
        <w:rPr>
          <w:b/>
          <w:i/>
          <w:sz w:val="48"/>
          <w:szCs w:val="28"/>
        </w:rPr>
      </w:pPr>
      <w:r w:rsidRPr="006C485F">
        <w:rPr>
          <w:b/>
          <w:i/>
          <w:noProof/>
          <w:sz w:val="48"/>
          <w:szCs w:val="28"/>
        </w:rPr>
        <w:t>Broker Logo Here</w:t>
      </w:r>
    </w:p>
    <w:p w:rsidR="008109FE" w:rsidRPr="00D117CC" w:rsidRDefault="008109FE" w:rsidP="00C37156">
      <w:pPr>
        <w:spacing w:after="0" w:line="240" w:lineRule="auto"/>
        <w:jc w:val="center"/>
        <w:rPr>
          <w:sz w:val="28"/>
          <w:szCs w:val="28"/>
        </w:rPr>
      </w:pPr>
    </w:p>
    <w:p w:rsidR="00D117CC" w:rsidRPr="00FB0BFA" w:rsidRDefault="00E33D7C" w:rsidP="004C28A4">
      <w:pPr>
        <w:spacing w:after="0" w:line="240" w:lineRule="auto"/>
        <w:jc w:val="center"/>
        <w:rPr>
          <w:sz w:val="32"/>
          <w:szCs w:val="32"/>
        </w:rPr>
      </w:pPr>
      <w:r>
        <w:rPr>
          <w:sz w:val="32"/>
          <w:szCs w:val="32"/>
        </w:rPr>
        <w:t>December 1</w:t>
      </w:r>
      <w:r w:rsidR="005C77D1">
        <w:rPr>
          <w:sz w:val="32"/>
          <w:szCs w:val="32"/>
        </w:rPr>
        <w:t>, 2013</w:t>
      </w:r>
    </w:p>
    <w:p w:rsidR="00D117CC" w:rsidRDefault="00D117CC" w:rsidP="00D117CC">
      <w:pPr>
        <w:spacing w:after="0" w:line="240" w:lineRule="auto"/>
      </w:pPr>
    </w:p>
    <w:p w:rsidR="00D117CC" w:rsidRDefault="00D117CC" w:rsidP="00D117CC">
      <w:pPr>
        <w:spacing w:after="0" w:line="240" w:lineRule="auto"/>
      </w:pPr>
    </w:p>
    <w:p w:rsidR="005F66C8" w:rsidRPr="003D1457" w:rsidRDefault="005F66C8" w:rsidP="005F66C8">
      <w:pPr>
        <w:spacing w:after="0" w:line="240" w:lineRule="auto"/>
        <w:jc w:val="center"/>
        <w:rPr>
          <w:sz w:val="28"/>
          <w:szCs w:val="28"/>
        </w:rPr>
      </w:pPr>
      <w:r w:rsidRPr="003D1457">
        <w:rPr>
          <w:sz w:val="28"/>
          <w:szCs w:val="28"/>
        </w:rPr>
        <w:t xml:space="preserve">Our Goal is to Help </w:t>
      </w:r>
    </w:p>
    <w:p w:rsidR="005F66C8" w:rsidRPr="006C485F" w:rsidRDefault="006C485F" w:rsidP="005F66C8">
      <w:pPr>
        <w:spacing w:after="0" w:line="240" w:lineRule="auto"/>
        <w:jc w:val="center"/>
        <w:rPr>
          <w:i/>
          <w:sz w:val="28"/>
          <w:szCs w:val="28"/>
        </w:rPr>
      </w:pPr>
      <w:r w:rsidRPr="006C485F">
        <w:rPr>
          <w:i/>
          <w:sz w:val="28"/>
          <w:szCs w:val="28"/>
        </w:rPr>
        <w:t>Broker Name</w:t>
      </w:r>
    </w:p>
    <w:p w:rsidR="005F66C8" w:rsidRPr="005F7DF3" w:rsidRDefault="005F7DF3" w:rsidP="005F7DF3">
      <w:pPr>
        <w:pStyle w:val="ListParagraph"/>
        <w:spacing w:after="0" w:line="240" w:lineRule="auto"/>
        <w:jc w:val="center"/>
        <w:rPr>
          <w:sz w:val="28"/>
          <w:szCs w:val="28"/>
        </w:rPr>
      </w:pPr>
      <w:r w:rsidRPr="005F7DF3">
        <w:rPr>
          <w:sz w:val="28"/>
          <w:szCs w:val="28"/>
        </w:rPr>
        <w:t xml:space="preserve">Close more business </w:t>
      </w:r>
      <w:r>
        <w:rPr>
          <w:sz w:val="28"/>
          <w:szCs w:val="28"/>
        </w:rPr>
        <w:t xml:space="preserve">* Retain clients * </w:t>
      </w:r>
      <w:r w:rsidR="005F66C8" w:rsidRPr="005F7DF3">
        <w:rPr>
          <w:sz w:val="28"/>
          <w:szCs w:val="28"/>
        </w:rPr>
        <w:t>Build agency Brand</w:t>
      </w:r>
    </w:p>
    <w:p w:rsidR="00D117CC" w:rsidRDefault="00D117CC" w:rsidP="00D117CC">
      <w:pPr>
        <w:spacing w:after="0" w:line="240" w:lineRule="auto"/>
        <w:jc w:val="center"/>
      </w:pPr>
    </w:p>
    <w:p w:rsidR="00576E86" w:rsidRDefault="00576E86" w:rsidP="00CB1553">
      <w:pPr>
        <w:spacing w:after="0" w:line="240" w:lineRule="auto"/>
      </w:pPr>
    </w:p>
    <w:p w:rsidR="000E21B5" w:rsidRDefault="000E21B5" w:rsidP="000E21B5">
      <w:pPr>
        <w:spacing w:after="0" w:line="240" w:lineRule="auto"/>
        <w:rPr>
          <w:b/>
          <w:sz w:val="32"/>
          <w:u w:val="single"/>
        </w:rPr>
      </w:pPr>
    </w:p>
    <w:p w:rsidR="000E21B5" w:rsidRDefault="000E21B5" w:rsidP="000E21B5">
      <w:pPr>
        <w:spacing w:after="0" w:line="240" w:lineRule="auto"/>
        <w:rPr>
          <w:b/>
          <w:sz w:val="32"/>
          <w:u w:val="single"/>
        </w:rPr>
      </w:pPr>
    </w:p>
    <w:p w:rsidR="003D1457" w:rsidRDefault="003D1457" w:rsidP="000E21B5">
      <w:pPr>
        <w:spacing w:after="0" w:line="240" w:lineRule="auto"/>
        <w:rPr>
          <w:b/>
          <w:sz w:val="32"/>
          <w:u w:val="single"/>
        </w:rPr>
      </w:pPr>
    </w:p>
    <w:p w:rsidR="003D1457" w:rsidRDefault="003D1457" w:rsidP="000E21B5">
      <w:pPr>
        <w:spacing w:after="0" w:line="240" w:lineRule="auto"/>
        <w:rPr>
          <w:b/>
          <w:sz w:val="32"/>
          <w:u w:val="single"/>
        </w:rPr>
      </w:pPr>
    </w:p>
    <w:p w:rsidR="003D1457" w:rsidRDefault="003D1457" w:rsidP="000E21B5">
      <w:pPr>
        <w:spacing w:after="0" w:line="240" w:lineRule="auto"/>
        <w:rPr>
          <w:b/>
          <w:sz w:val="32"/>
          <w:u w:val="single"/>
        </w:rPr>
      </w:pPr>
    </w:p>
    <w:p w:rsidR="003D1457" w:rsidRDefault="003D1457" w:rsidP="000E21B5">
      <w:pPr>
        <w:spacing w:after="0" w:line="240" w:lineRule="auto"/>
        <w:rPr>
          <w:b/>
          <w:sz w:val="32"/>
          <w:u w:val="single"/>
        </w:rPr>
      </w:pPr>
    </w:p>
    <w:p w:rsidR="00AD0DEC" w:rsidRDefault="00AD0DEC" w:rsidP="000E21B5">
      <w:pPr>
        <w:spacing w:after="0" w:line="240" w:lineRule="auto"/>
        <w:rPr>
          <w:b/>
          <w:sz w:val="32"/>
          <w:u w:val="single"/>
        </w:rPr>
      </w:pPr>
    </w:p>
    <w:p w:rsidR="00AD0DEC" w:rsidRDefault="00AD0DEC" w:rsidP="000E21B5">
      <w:pPr>
        <w:spacing w:after="0" w:line="240" w:lineRule="auto"/>
        <w:rPr>
          <w:b/>
          <w:sz w:val="32"/>
          <w:u w:val="single"/>
        </w:rPr>
      </w:pPr>
    </w:p>
    <w:p w:rsidR="00D215FB" w:rsidRDefault="00D215FB" w:rsidP="000E21B5">
      <w:pPr>
        <w:spacing w:after="0" w:line="240" w:lineRule="auto"/>
        <w:rPr>
          <w:b/>
          <w:sz w:val="32"/>
          <w:u w:val="single"/>
        </w:rPr>
      </w:pPr>
    </w:p>
    <w:p w:rsidR="00D215FB" w:rsidRDefault="00D215FB" w:rsidP="000E21B5">
      <w:pPr>
        <w:spacing w:after="0" w:line="240" w:lineRule="auto"/>
        <w:rPr>
          <w:b/>
          <w:sz w:val="32"/>
          <w:u w:val="single"/>
        </w:rPr>
      </w:pPr>
    </w:p>
    <w:p w:rsidR="000E21B5" w:rsidRPr="00A26EF8" w:rsidRDefault="000E21B5" w:rsidP="000E21B5">
      <w:pPr>
        <w:spacing w:after="0" w:line="240" w:lineRule="auto"/>
        <w:rPr>
          <w:b/>
          <w:sz w:val="32"/>
          <w:u w:val="single"/>
        </w:rPr>
      </w:pPr>
      <w:proofErr w:type="gramStart"/>
      <w:r w:rsidRPr="00A26EF8">
        <w:rPr>
          <w:b/>
          <w:sz w:val="32"/>
          <w:u w:val="single"/>
        </w:rPr>
        <w:t>Your</w:t>
      </w:r>
      <w:proofErr w:type="gramEnd"/>
      <w:r w:rsidRPr="00A26EF8">
        <w:rPr>
          <w:b/>
          <w:sz w:val="32"/>
          <w:u w:val="single"/>
        </w:rPr>
        <w:t xml:space="preserve"> ThinkHR Team:</w:t>
      </w:r>
    </w:p>
    <w:p w:rsidR="000E21B5" w:rsidRPr="00622E85" w:rsidRDefault="000E21B5" w:rsidP="000E21B5">
      <w:pPr>
        <w:spacing w:after="0" w:line="240" w:lineRule="auto"/>
        <w:rPr>
          <w:b/>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68"/>
        <w:gridCol w:w="3330"/>
        <w:gridCol w:w="2700"/>
        <w:gridCol w:w="1818"/>
      </w:tblGrid>
      <w:tr w:rsidR="000E21B5" w:rsidTr="006C4019">
        <w:trPr>
          <w:trHeight w:val="1611"/>
        </w:trPr>
        <w:tc>
          <w:tcPr>
            <w:tcW w:w="3168" w:type="dxa"/>
            <w:tcBorders>
              <w:top w:val="single" w:sz="4" w:space="0" w:color="auto"/>
              <w:left w:val="single" w:sz="4" w:space="0" w:color="auto"/>
              <w:bottom w:val="single" w:sz="4" w:space="0" w:color="auto"/>
              <w:right w:val="single" w:sz="4" w:space="0" w:color="auto"/>
            </w:tcBorders>
          </w:tcPr>
          <w:p w:rsidR="000E21B5" w:rsidRPr="00622E85" w:rsidRDefault="000E21B5" w:rsidP="006C4019">
            <w:pPr>
              <w:jc w:val="center"/>
              <w:rPr>
                <w:b/>
                <w:sz w:val="24"/>
              </w:rPr>
            </w:pPr>
            <w:r w:rsidRPr="00622E85">
              <w:rPr>
                <w:b/>
                <w:sz w:val="24"/>
              </w:rPr>
              <w:t>Customer Success</w:t>
            </w:r>
          </w:p>
          <w:p w:rsidR="000E21B5" w:rsidRDefault="000E21B5" w:rsidP="006C4019">
            <w:pPr>
              <w:jc w:val="center"/>
            </w:pPr>
            <w:r w:rsidRPr="001201F4">
              <w:t>Tech Support, C</w:t>
            </w:r>
            <w:r>
              <w:t xml:space="preserve">ommunication Materials, </w:t>
            </w:r>
            <w:r w:rsidRPr="001201F4">
              <w:t>Account Questions, Reports</w:t>
            </w:r>
          </w:p>
          <w:p w:rsidR="000E21B5" w:rsidRPr="00622E85" w:rsidRDefault="000E21B5" w:rsidP="006C4019">
            <w:pPr>
              <w:jc w:val="center"/>
              <w:rPr>
                <w:sz w:val="12"/>
              </w:rPr>
            </w:pPr>
          </w:p>
          <w:p w:rsidR="000E21B5" w:rsidRPr="001201F4" w:rsidRDefault="00AD0DEC" w:rsidP="006C4019">
            <w:pPr>
              <w:jc w:val="center"/>
              <w:rPr>
                <w:b/>
              </w:rPr>
            </w:pPr>
            <w:hyperlink r:id="rId9" w:history="1">
              <w:r w:rsidR="000E21B5" w:rsidRPr="001201F4">
                <w:rPr>
                  <w:rStyle w:val="Hyperlink"/>
                </w:rPr>
                <w:t>Customersuccess@thinkhr.com</w:t>
              </w:r>
            </w:hyperlink>
            <w:r w:rsidR="000E21B5">
              <w:t xml:space="preserve"> (925) 225-1100 ext. 215</w:t>
            </w:r>
          </w:p>
        </w:tc>
        <w:tc>
          <w:tcPr>
            <w:tcW w:w="3330" w:type="dxa"/>
            <w:tcBorders>
              <w:top w:val="single" w:sz="4" w:space="0" w:color="auto"/>
              <w:left w:val="single" w:sz="4" w:space="0" w:color="auto"/>
              <w:bottom w:val="single" w:sz="4" w:space="0" w:color="auto"/>
              <w:right w:val="single" w:sz="4" w:space="0" w:color="auto"/>
            </w:tcBorders>
          </w:tcPr>
          <w:p w:rsidR="000E21B5" w:rsidRPr="00622E85" w:rsidRDefault="000E21B5" w:rsidP="006C4019">
            <w:pPr>
              <w:jc w:val="center"/>
              <w:rPr>
                <w:b/>
                <w:sz w:val="24"/>
              </w:rPr>
            </w:pPr>
            <w:r w:rsidRPr="00622E85">
              <w:rPr>
                <w:b/>
                <w:sz w:val="24"/>
              </w:rPr>
              <w:t>Sales</w:t>
            </w:r>
          </w:p>
          <w:p w:rsidR="000E21B5" w:rsidRDefault="000E21B5" w:rsidP="006C4019">
            <w:pPr>
              <w:jc w:val="center"/>
            </w:pPr>
            <w:r w:rsidRPr="001201F4">
              <w:t>Executive</w:t>
            </w:r>
            <w:r>
              <w:t>,</w:t>
            </w:r>
            <w:r w:rsidRPr="001201F4">
              <w:t xml:space="preserve"> Contract, Contracts, Problems/Praises</w:t>
            </w:r>
          </w:p>
          <w:p w:rsidR="000E21B5" w:rsidRPr="00622E85" w:rsidRDefault="000E21B5" w:rsidP="006C4019">
            <w:pPr>
              <w:jc w:val="center"/>
              <w:rPr>
                <w:sz w:val="12"/>
              </w:rPr>
            </w:pPr>
          </w:p>
          <w:p w:rsidR="000E21B5" w:rsidRDefault="000E21B5" w:rsidP="006C4019">
            <w:pPr>
              <w:jc w:val="center"/>
            </w:pPr>
            <w:r>
              <w:t>Joy Justus</w:t>
            </w:r>
          </w:p>
          <w:p w:rsidR="000E21B5" w:rsidRDefault="00AD0DEC" w:rsidP="006C4019">
            <w:pPr>
              <w:jc w:val="center"/>
            </w:pPr>
            <w:hyperlink r:id="rId10" w:history="1">
              <w:r w:rsidR="000E21B5" w:rsidRPr="001201F4">
                <w:rPr>
                  <w:rStyle w:val="Hyperlink"/>
                </w:rPr>
                <w:t>jjustus@thinkhr.com</w:t>
              </w:r>
            </w:hyperlink>
          </w:p>
          <w:p w:rsidR="000E21B5" w:rsidRPr="001201F4" w:rsidRDefault="000E21B5" w:rsidP="006C4019">
            <w:pPr>
              <w:jc w:val="center"/>
              <w:rPr>
                <w:b/>
              </w:rPr>
            </w:pPr>
            <w:r w:rsidRPr="001201F4">
              <w:t>(925) 225-1100 ext. 247</w:t>
            </w:r>
          </w:p>
        </w:tc>
        <w:tc>
          <w:tcPr>
            <w:tcW w:w="2700" w:type="dxa"/>
            <w:tcBorders>
              <w:top w:val="single" w:sz="4" w:space="0" w:color="auto"/>
              <w:left w:val="single" w:sz="4" w:space="0" w:color="auto"/>
              <w:bottom w:val="single" w:sz="4" w:space="0" w:color="auto"/>
              <w:right w:val="single" w:sz="4" w:space="0" w:color="auto"/>
            </w:tcBorders>
          </w:tcPr>
          <w:p w:rsidR="000E21B5" w:rsidRPr="00622E85" w:rsidRDefault="000E21B5" w:rsidP="006C4019">
            <w:pPr>
              <w:jc w:val="center"/>
              <w:rPr>
                <w:b/>
                <w:sz w:val="24"/>
              </w:rPr>
            </w:pPr>
            <w:r w:rsidRPr="00622E85">
              <w:rPr>
                <w:b/>
                <w:sz w:val="24"/>
              </w:rPr>
              <w:t>Billing</w:t>
            </w:r>
          </w:p>
          <w:p w:rsidR="000E21B5" w:rsidRPr="001201F4" w:rsidRDefault="000E21B5" w:rsidP="006C4019">
            <w:pPr>
              <w:jc w:val="center"/>
            </w:pPr>
            <w:r w:rsidRPr="001201F4">
              <w:t>Invoices</w:t>
            </w:r>
          </w:p>
          <w:p w:rsidR="000E21B5" w:rsidRDefault="000E21B5" w:rsidP="006C4019">
            <w:pPr>
              <w:jc w:val="center"/>
            </w:pPr>
          </w:p>
          <w:p w:rsidR="000E21B5" w:rsidRPr="00622E85" w:rsidRDefault="000E21B5" w:rsidP="006C4019">
            <w:pPr>
              <w:jc w:val="center"/>
              <w:rPr>
                <w:sz w:val="14"/>
              </w:rPr>
            </w:pPr>
          </w:p>
          <w:p w:rsidR="000E21B5" w:rsidRDefault="000E21B5" w:rsidP="006C4019">
            <w:pPr>
              <w:jc w:val="center"/>
            </w:pPr>
          </w:p>
          <w:p w:rsidR="000E21B5" w:rsidRDefault="00AD0DEC" w:rsidP="006C4019">
            <w:pPr>
              <w:jc w:val="center"/>
            </w:pPr>
            <w:hyperlink r:id="rId11" w:history="1">
              <w:r w:rsidR="000E21B5" w:rsidRPr="00030F28">
                <w:rPr>
                  <w:rStyle w:val="Hyperlink"/>
                </w:rPr>
                <w:t>billing@thinkhr.com</w:t>
              </w:r>
            </w:hyperlink>
          </w:p>
          <w:p w:rsidR="000E21B5" w:rsidRPr="001201F4" w:rsidRDefault="000E21B5" w:rsidP="006C4019">
            <w:pPr>
              <w:jc w:val="center"/>
              <w:rPr>
                <w:b/>
              </w:rPr>
            </w:pPr>
            <w:r w:rsidRPr="001201F4">
              <w:t xml:space="preserve">(925) 225-1100 </w:t>
            </w:r>
          </w:p>
        </w:tc>
        <w:tc>
          <w:tcPr>
            <w:tcW w:w="1818" w:type="dxa"/>
            <w:tcBorders>
              <w:top w:val="single" w:sz="4" w:space="0" w:color="auto"/>
              <w:left w:val="single" w:sz="4" w:space="0" w:color="auto"/>
              <w:bottom w:val="single" w:sz="4" w:space="0" w:color="auto"/>
              <w:right w:val="single" w:sz="4" w:space="0" w:color="auto"/>
            </w:tcBorders>
          </w:tcPr>
          <w:p w:rsidR="000E21B5" w:rsidRPr="00622E85" w:rsidRDefault="000E21B5" w:rsidP="006C4019">
            <w:pPr>
              <w:jc w:val="center"/>
              <w:rPr>
                <w:b/>
                <w:sz w:val="24"/>
              </w:rPr>
            </w:pPr>
            <w:r w:rsidRPr="00622E85">
              <w:rPr>
                <w:b/>
                <w:sz w:val="24"/>
              </w:rPr>
              <w:t>Hotline</w:t>
            </w:r>
          </w:p>
          <w:p w:rsidR="000E21B5" w:rsidRPr="001201F4" w:rsidRDefault="000E21B5" w:rsidP="006C4019">
            <w:pPr>
              <w:jc w:val="center"/>
              <w:rPr>
                <w:b/>
              </w:rPr>
            </w:pPr>
            <w:r w:rsidRPr="001201F4">
              <w:t>(877) 225-1101</w:t>
            </w:r>
          </w:p>
        </w:tc>
      </w:tr>
    </w:tbl>
    <w:p w:rsidR="00B4233E" w:rsidRDefault="00B4233E" w:rsidP="004E1AD5">
      <w:pPr>
        <w:spacing w:after="0" w:line="240" w:lineRule="auto"/>
        <w:rPr>
          <w:b/>
          <w:u w:val="single"/>
        </w:rPr>
      </w:pPr>
    </w:p>
    <w:p w:rsidR="00B4233E" w:rsidRPr="00B4233E" w:rsidRDefault="006C485F" w:rsidP="004E1AD5">
      <w:pPr>
        <w:spacing w:after="0" w:line="240" w:lineRule="auto"/>
        <w:rPr>
          <w:b/>
          <w:sz w:val="32"/>
          <w:szCs w:val="32"/>
          <w:u w:val="single"/>
        </w:rPr>
      </w:pPr>
      <w:r>
        <w:rPr>
          <w:b/>
          <w:sz w:val="32"/>
          <w:szCs w:val="32"/>
          <w:u w:val="single"/>
        </w:rPr>
        <w:t>Broker Partner</w:t>
      </w:r>
      <w:r w:rsidR="006C4019" w:rsidRPr="00B4233E">
        <w:rPr>
          <w:b/>
          <w:sz w:val="32"/>
          <w:szCs w:val="32"/>
          <w:u w:val="single"/>
        </w:rPr>
        <w:t xml:space="preserve"> Contacts: </w:t>
      </w:r>
    </w:p>
    <w:tbl>
      <w:tblPr>
        <w:tblStyle w:val="TableGrid"/>
        <w:tblW w:w="11091" w:type="dxa"/>
        <w:tblLook w:val="04A0" w:firstRow="1" w:lastRow="0" w:firstColumn="1" w:lastColumn="0" w:noHBand="0" w:noVBand="1"/>
      </w:tblPr>
      <w:tblGrid>
        <w:gridCol w:w="3697"/>
        <w:gridCol w:w="3697"/>
        <w:gridCol w:w="3697"/>
      </w:tblGrid>
      <w:tr w:rsidR="00B4233E" w:rsidTr="00B4233E">
        <w:trPr>
          <w:trHeight w:val="795"/>
        </w:trPr>
        <w:tc>
          <w:tcPr>
            <w:tcW w:w="3697" w:type="dxa"/>
          </w:tcPr>
          <w:p w:rsidR="00B4233E" w:rsidRPr="00B4233E" w:rsidRDefault="00B4233E" w:rsidP="00B4233E">
            <w:pPr>
              <w:jc w:val="center"/>
              <w:rPr>
                <w:b/>
                <w:sz w:val="24"/>
                <w:szCs w:val="24"/>
              </w:rPr>
            </w:pPr>
            <w:r w:rsidRPr="00B4233E">
              <w:rPr>
                <w:b/>
                <w:sz w:val="24"/>
                <w:szCs w:val="24"/>
              </w:rPr>
              <w:t>Executive</w:t>
            </w:r>
          </w:p>
          <w:p w:rsidR="00B4233E" w:rsidRPr="00B4233E" w:rsidRDefault="00B4233E" w:rsidP="004E1AD5">
            <w:pPr>
              <w:rPr>
                <w:b/>
              </w:rPr>
            </w:pPr>
          </w:p>
          <w:p w:rsidR="00B4233E" w:rsidRPr="00B4233E" w:rsidRDefault="006C485F" w:rsidP="00B4233E">
            <w:pPr>
              <w:jc w:val="center"/>
            </w:pPr>
            <w:r>
              <w:t>Contact Name</w:t>
            </w:r>
          </w:p>
        </w:tc>
        <w:tc>
          <w:tcPr>
            <w:tcW w:w="3697" w:type="dxa"/>
          </w:tcPr>
          <w:p w:rsidR="00B4233E" w:rsidRPr="00B4233E" w:rsidRDefault="00B4233E" w:rsidP="00B4233E">
            <w:pPr>
              <w:jc w:val="center"/>
              <w:rPr>
                <w:b/>
                <w:sz w:val="24"/>
                <w:szCs w:val="24"/>
              </w:rPr>
            </w:pPr>
            <w:r w:rsidRPr="00B4233E">
              <w:rPr>
                <w:b/>
                <w:sz w:val="24"/>
                <w:szCs w:val="24"/>
              </w:rPr>
              <w:t>Administration</w:t>
            </w:r>
          </w:p>
          <w:p w:rsidR="00B4233E" w:rsidRDefault="00B4233E" w:rsidP="004E1AD5">
            <w:pPr>
              <w:rPr>
                <w:b/>
              </w:rPr>
            </w:pPr>
          </w:p>
          <w:p w:rsidR="00B4233E" w:rsidRPr="00B4233E" w:rsidRDefault="006C485F" w:rsidP="00B4233E">
            <w:pPr>
              <w:jc w:val="center"/>
            </w:pPr>
            <w:r>
              <w:t>Contact Name</w:t>
            </w:r>
          </w:p>
        </w:tc>
        <w:tc>
          <w:tcPr>
            <w:tcW w:w="3697" w:type="dxa"/>
          </w:tcPr>
          <w:p w:rsidR="00B4233E" w:rsidRPr="00B4233E" w:rsidRDefault="00B4233E" w:rsidP="00B4233E">
            <w:pPr>
              <w:jc w:val="center"/>
              <w:rPr>
                <w:b/>
                <w:sz w:val="24"/>
                <w:szCs w:val="24"/>
              </w:rPr>
            </w:pPr>
            <w:r w:rsidRPr="00B4233E">
              <w:rPr>
                <w:b/>
                <w:sz w:val="24"/>
                <w:szCs w:val="24"/>
              </w:rPr>
              <w:t>Portal Access</w:t>
            </w:r>
          </w:p>
          <w:p w:rsidR="00B4233E" w:rsidRDefault="00B4233E" w:rsidP="004E1AD5">
            <w:pPr>
              <w:rPr>
                <w:b/>
              </w:rPr>
            </w:pPr>
          </w:p>
          <w:p w:rsidR="00B4233E" w:rsidRDefault="00AD0DEC" w:rsidP="00B4233E">
            <w:pPr>
              <w:jc w:val="center"/>
            </w:pPr>
            <w:hyperlink r:id="rId12" w:history="1">
              <w:r w:rsidR="006C485F" w:rsidRPr="0015694B">
                <w:rPr>
                  <w:rStyle w:val="Hyperlink"/>
                </w:rPr>
                <w:t>http://brokername.thinkhrlive.com</w:t>
              </w:r>
            </w:hyperlink>
          </w:p>
          <w:p w:rsidR="006C485F" w:rsidRPr="00B4233E" w:rsidRDefault="006C485F" w:rsidP="00B4233E">
            <w:pPr>
              <w:jc w:val="center"/>
            </w:pPr>
          </w:p>
        </w:tc>
      </w:tr>
    </w:tbl>
    <w:p w:rsidR="00D215FB" w:rsidRDefault="00D215FB" w:rsidP="004E1AD5">
      <w:pPr>
        <w:spacing w:after="0" w:line="240" w:lineRule="auto"/>
        <w:rPr>
          <w:b/>
          <w:i/>
          <w:u w:val="single"/>
        </w:rPr>
      </w:pPr>
      <w:r w:rsidRPr="00D215FB">
        <w:rPr>
          <w:b/>
          <w:noProof/>
          <w:sz w:val="32"/>
          <w:u w:val="single"/>
        </w:rPr>
        <mc:AlternateContent>
          <mc:Choice Requires="wps">
            <w:drawing>
              <wp:anchor distT="0" distB="0" distL="114300" distR="114300" simplePos="0" relativeHeight="251722752" behindDoc="0" locked="0" layoutInCell="1" allowOverlap="1" wp14:anchorId="2E825F25" wp14:editId="5A88E25C">
                <wp:simplePos x="0" y="0"/>
                <wp:positionH relativeFrom="column">
                  <wp:posOffset>5267325</wp:posOffset>
                </wp:positionH>
                <wp:positionV relativeFrom="paragraph">
                  <wp:posOffset>99695</wp:posOffset>
                </wp:positionV>
                <wp:extent cx="1724025" cy="581025"/>
                <wp:effectExtent l="0" t="0" r="28575"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581025"/>
                        </a:xfrm>
                        <a:prstGeom prst="rect">
                          <a:avLst/>
                        </a:prstGeom>
                        <a:solidFill>
                          <a:srgbClr val="FFFFFF"/>
                        </a:solidFill>
                        <a:ln w="9525">
                          <a:solidFill>
                            <a:srgbClr val="000000"/>
                          </a:solidFill>
                          <a:miter lim="800000"/>
                          <a:headEnd/>
                          <a:tailEnd/>
                        </a:ln>
                      </wps:spPr>
                      <wps:txbx>
                        <w:txbxContent>
                          <w:p w:rsidR="006C485F" w:rsidRDefault="006C485F">
                            <w:r>
                              <w:rPr>
                                <w:noProof/>
                              </w:rPr>
                              <w:drawing>
                                <wp:inline distT="0" distB="0" distL="0" distR="0" wp14:anchorId="5A90E7A1" wp14:editId="0412E2B5">
                                  <wp:extent cx="1562100" cy="45953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nkHR Logo Larg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64619" cy="46027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14.75pt;margin-top:7.85pt;width:135.75pt;height:45.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">
                <v:textbox>
                  <w:txbxContent>
                    <w:p w:rsidR="006C485F" w:rsidRDefault="006C485F">
                      <w:r>
                        <w:rPr>
                          <w:noProof/>
                        </w:rPr>
                        <w:drawing>
                          <wp:inline distT="0" distB="0" distL="0" distR="0" wp14:anchorId="5A90E7A1" wp14:editId="0412E2B5">
                            <wp:extent cx="1562100" cy="45953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nkHR Logo Large.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64619" cy="460273"/>
                                    </a:xfrm>
                                    <a:prstGeom prst="rect">
                                      <a:avLst/>
                                    </a:prstGeom>
                                  </pic:spPr>
                                </pic:pic>
                              </a:graphicData>
                            </a:graphic>
                          </wp:inline>
                        </w:drawing>
                      </w:r>
                    </w:p>
                  </w:txbxContent>
                </v:textbox>
              </v:shape>
            </w:pict>
          </mc:Fallback>
        </mc:AlternateContent>
      </w:r>
    </w:p>
    <w:p w:rsidR="00D215FB" w:rsidRDefault="00D215FB" w:rsidP="004E1AD5">
      <w:pPr>
        <w:spacing w:after="0" w:line="240" w:lineRule="auto"/>
        <w:rPr>
          <w:b/>
          <w:i/>
          <w:u w:val="single"/>
        </w:rPr>
      </w:pPr>
    </w:p>
    <w:p w:rsidR="00D215FB" w:rsidRDefault="00D215FB" w:rsidP="004E1AD5">
      <w:pPr>
        <w:spacing w:after="0" w:line="240" w:lineRule="auto"/>
        <w:rPr>
          <w:b/>
          <w:i/>
          <w:u w:val="single"/>
        </w:rPr>
      </w:pPr>
    </w:p>
    <w:p w:rsidR="00D215FB" w:rsidRPr="00F87EE0" w:rsidRDefault="00D215FB" w:rsidP="004E1AD5">
      <w:pPr>
        <w:spacing w:after="0" w:line="240" w:lineRule="auto"/>
        <w:rPr>
          <w:b/>
          <w:i/>
          <w:u w:val="single"/>
        </w:rPr>
      </w:pPr>
    </w:p>
    <w:p w:rsidR="00AD0DEC" w:rsidRDefault="00AD0DEC">
      <w:r>
        <w:br w:type="page"/>
      </w:r>
    </w:p>
    <w:tbl>
      <w:tblPr>
        <w:tblStyle w:val="TableGrid"/>
        <w:tblW w:w="0" w:type="auto"/>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5940"/>
        <w:gridCol w:w="18"/>
      </w:tblGrid>
      <w:tr w:rsidR="003D1457" w:rsidRPr="00FB0BFA" w:rsidTr="006C4019">
        <w:tc>
          <w:tcPr>
            <w:tcW w:w="2880" w:type="dxa"/>
          </w:tcPr>
          <w:p w:rsidR="003D1457" w:rsidRPr="00CB1553" w:rsidRDefault="003D1457" w:rsidP="006C4019">
            <w:pPr>
              <w:rPr>
                <w:b/>
              </w:rPr>
            </w:pPr>
            <w:r w:rsidRPr="00CB1553">
              <w:rPr>
                <w:b/>
              </w:rPr>
              <w:t>Broker Name</w:t>
            </w:r>
          </w:p>
        </w:tc>
        <w:tc>
          <w:tcPr>
            <w:tcW w:w="5958" w:type="dxa"/>
            <w:gridSpan w:val="2"/>
          </w:tcPr>
          <w:p w:rsidR="003D1457" w:rsidRPr="00CB1553" w:rsidRDefault="006C485F" w:rsidP="006C4019">
            <w:pPr>
              <w:rPr>
                <w:b/>
              </w:rPr>
            </w:pPr>
            <w:r>
              <w:rPr>
                <w:b/>
              </w:rPr>
              <w:t>Broker Partner</w:t>
            </w:r>
          </w:p>
        </w:tc>
      </w:tr>
      <w:tr w:rsidR="003D1457" w:rsidRPr="00FB0BFA" w:rsidTr="006C4019">
        <w:tc>
          <w:tcPr>
            <w:tcW w:w="2880" w:type="dxa"/>
          </w:tcPr>
          <w:p w:rsidR="003D1457" w:rsidRPr="00FB0BFA" w:rsidRDefault="003D1457" w:rsidP="006C4019">
            <w:r>
              <w:t>Contract Effective Date</w:t>
            </w:r>
          </w:p>
        </w:tc>
        <w:tc>
          <w:tcPr>
            <w:tcW w:w="5958" w:type="dxa"/>
            <w:gridSpan w:val="2"/>
          </w:tcPr>
          <w:p w:rsidR="003D1457" w:rsidRPr="00FB0BFA" w:rsidRDefault="00E33D7C" w:rsidP="006C4019">
            <w:r>
              <w:t>March 1, 2012</w:t>
            </w:r>
          </w:p>
        </w:tc>
      </w:tr>
      <w:tr w:rsidR="003D1457" w:rsidRPr="00FB0BFA" w:rsidTr="006C4019">
        <w:tc>
          <w:tcPr>
            <w:tcW w:w="2880" w:type="dxa"/>
          </w:tcPr>
          <w:p w:rsidR="003D1457" w:rsidRPr="00FB0BFA" w:rsidRDefault="003D1457" w:rsidP="006C4019">
            <w:r>
              <w:t>Contract Renewal Date</w:t>
            </w:r>
          </w:p>
        </w:tc>
        <w:tc>
          <w:tcPr>
            <w:tcW w:w="5958" w:type="dxa"/>
            <w:gridSpan w:val="2"/>
          </w:tcPr>
          <w:p w:rsidR="003D1457" w:rsidRPr="00FB0BFA" w:rsidRDefault="00E33D7C" w:rsidP="006C4019">
            <w:r>
              <w:t>March 1, 2014</w:t>
            </w:r>
          </w:p>
        </w:tc>
      </w:tr>
      <w:tr w:rsidR="003D1457" w:rsidRPr="00FB0BFA" w:rsidTr="006C4019">
        <w:tc>
          <w:tcPr>
            <w:tcW w:w="2880" w:type="dxa"/>
          </w:tcPr>
          <w:p w:rsidR="003D1457" w:rsidRPr="00FB0BFA" w:rsidRDefault="003D1457" w:rsidP="006C4019"/>
        </w:tc>
        <w:tc>
          <w:tcPr>
            <w:tcW w:w="5958" w:type="dxa"/>
            <w:gridSpan w:val="2"/>
          </w:tcPr>
          <w:p w:rsidR="003D1457" w:rsidRPr="00FB0BFA" w:rsidRDefault="003D1457" w:rsidP="006C4019"/>
        </w:tc>
      </w:tr>
      <w:tr w:rsidR="003D1457" w:rsidRPr="00FB0BFA" w:rsidTr="006C4019">
        <w:tc>
          <w:tcPr>
            <w:tcW w:w="2880" w:type="dxa"/>
          </w:tcPr>
          <w:p w:rsidR="003D1457" w:rsidRPr="00CB1553" w:rsidRDefault="003D1457" w:rsidP="006C4019">
            <w:pPr>
              <w:rPr>
                <w:b/>
              </w:rPr>
            </w:pPr>
            <w:r w:rsidRPr="00CB1553">
              <w:rPr>
                <w:b/>
              </w:rPr>
              <w:lastRenderedPageBreak/>
              <w:t>Reporting Period</w:t>
            </w:r>
          </w:p>
        </w:tc>
        <w:tc>
          <w:tcPr>
            <w:tcW w:w="5958" w:type="dxa"/>
            <w:gridSpan w:val="2"/>
          </w:tcPr>
          <w:p w:rsidR="003D1457" w:rsidRPr="00CB1553" w:rsidRDefault="00197849" w:rsidP="006C4019">
            <w:pPr>
              <w:rPr>
                <w:b/>
              </w:rPr>
            </w:pPr>
            <w:r>
              <w:rPr>
                <w:b/>
              </w:rPr>
              <w:t xml:space="preserve">December </w:t>
            </w:r>
            <w:r w:rsidR="00E33D7C">
              <w:rPr>
                <w:b/>
              </w:rPr>
              <w:t>1, 2012</w:t>
            </w:r>
            <w:r>
              <w:rPr>
                <w:b/>
              </w:rPr>
              <w:t xml:space="preserve"> </w:t>
            </w:r>
            <w:r w:rsidR="00E33D7C">
              <w:rPr>
                <w:b/>
              </w:rPr>
              <w:t>- December 1, 2013</w:t>
            </w:r>
          </w:p>
        </w:tc>
      </w:tr>
      <w:tr w:rsidR="003D1457" w:rsidTr="006C4019">
        <w:trPr>
          <w:gridAfter w:val="1"/>
          <w:wAfter w:w="18" w:type="dxa"/>
        </w:trPr>
        <w:tc>
          <w:tcPr>
            <w:tcW w:w="2880" w:type="dxa"/>
          </w:tcPr>
          <w:p w:rsidR="003D1457" w:rsidRPr="00FB0BFA" w:rsidRDefault="003D1457" w:rsidP="006C4019">
            <w:r>
              <w:t>Clients Contracted</w:t>
            </w:r>
          </w:p>
        </w:tc>
        <w:tc>
          <w:tcPr>
            <w:tcW w:w="5940" w:type="dxa"/>
          </w:tcPr>
          <w:p w:rsidR="003D1457" w:rsidRPr="00FB0BFA" w:rsidRDefault="003D1457" w:rsidP="006C4019">
            <w:r>
              <w:t>100</w:t>
            </w:r>
          </w:p>
        </w:tc>
      </w:tr>
      <w:tr w:rsidR="003D1457" w:rsidTr="006C4019">
        <w:trPr>
          <w:gridAfter w:val="1"/>
          <w:wAfter w:w="18" w:type="dxa"/>
        </w:trPr>
        <w:tc>
          <w:tcPr>
            <w:tcW w:w="2880" w:type="dxa"/>
          </w:tcPr>
          <w:p w:rsidR="003D1457" w:rsidRPr="00FB0BFA" w:rsidRDefault="003D1457" w:rsidP="006C4019">
            <w:r>
              <w:t>Active Clients</w:t>
            </w:r>
          </w:p>
        </w:tc>
        <w:tc>
          <w:tcPr>
            <w:tcW w:w="5940" w:type="dxa"/>
          </w:tcPr>
          <w:p w:rsidR="003D1457" w:rsidRPr="00FB0BFA" w:rsidRDefault="00E33D7C" w:rsidP="006C4019">
            <w:r>
              <w:t>69</w:t>
            </w:r>
          </w:p>
        </w:tc>
      </w:tr>
      <w:tr w:rsidR="003D1457" w:rsidTr="006C4019">
        <w:trPr>
          <w:gridAfter w:val="1"/>
          <w:wAfter w:w="18" w:type="dxa"/>
        </w:trPr>
        <w:tc>
          <w:tcPr>
            <w:tcW w:w="2880" w:type="dxa"/>
          </w:tcPr>
          <w:p w:rsidR="003D1457" w:rsidRPr="00E900C6" w:rsidRDefault="003D1457" w:rsidP="006C4019">
            <w:r w:rsidRPr="00E900C6">
              <w:t>Active Users</w:t>
            </w:r>
          </w:p>
        </w:tc>
        <w:tc>
          <w:tcPr>
            <w:tcW w:w="5940" w:type="dxa"/>
          </w:tcPr>
          <w:p w:rsidR="003D1457" w:rsidRPr="00E900C6" w:rsidRDefault="00E900C6" w:rsidP="006C4019">
            <w:r w:rsidRPr="00E900C6">
              <w:t>138</w:t>
            </w:r>
          </w:p>
        </w:tc>
      </w:tr>
      <w:tr w:rsidR="003D1457" w:rsidTr="006C4019">
        <w:trPr>
          <w:gridAfter w:val="1"/>
          <w:wAfter w:w="18" w:type="dxa"/>
        </w:trPr>
        <w:tc>
          <w:tcPr>
            <w:tcW w:w="2880" w:type="dxa"/>
          </w:tcPr>
          <w:p w:rsidR="003D1457" w:rsidRDefault="003D1457" w:rsidP="006C4019">
            <w:r>
              <w:t>Current Monthly Fee</w:t>
            </w:r>
          </w:p>
        </w:tc>
        <w:tc>
          <w:tcPr>
            <w:tcW w:w="5940" w:type="dxa"/>
          </w:tcPr>
          <w:p w:rsidR="003D1457" w:rsidRPr="00FB0BFA" w:rsidRDefault="003D1457" w:rsidP="006C4019"/>
        </w:tc>
      </w:tr>
      <w:tr w:rsidR="00166969" w:rsidTr="006C4019">
        <w:trPr>
          <w:gridAfter w:val="1"/>
          <w:wAfter w:w="18" w:type="dxa"/>
        </w:trPr>
        <w:tc>
          <w:tcPr>
            <w:tcW w:w="2880" w:type="dxa"/>
          </w:tcPr>
          <w:p w:rsidR="00166969" w:rsidRPr="00B06702" w:rsidRDefault="00166969" w:rsidP="006C4019">
            <w:r w:rsidRPr="00B06702">
              <w:t>Renewal Fee</w:t>
            </w:r>
          </w:p>
        </w:tc>
        <w:tc>
          <w:tcPr>
            <w:tcW w:w="5940" w:type="dxa"/>
          </w:tcPr>
          <w:p w:rsidR="00166969" w:rsidRPr="00B06702" w:rsidRDefault="00166969" w:rsidP="006C4019"/>
        </w:tc>
      </w:tr>
    </w:tbl>
    <w:p w:rsidR="00E33D7C" w:rsidRDefault="00E33D7C" w:rsidP="00BC0028">
      <w:pPr>
        <w:rPr>
          <w:i/>
          <w:sz w:val="24"/>
        </w:rPr>
      </w:pPr>
    </w:p>
    <w:p w:rsidR="00BC0028" w:rsidRPr="003851B8" w:rsidRDefault="00BC0028" w:rsidP="00BC0028">
      <w:pPr>
        <w:rPr>
          <w:i/>
          <w:iCs/>
        </w:rPr>
      </w:pPr>
      <w:r w:rsidRPr="003851B8">
        <w:rPr>
          <w:i/>
          <w:iCs/>
        </w:rPr>
        <w:t xml:space="preserve">ThinkHR is a comprehensive, turn-key HR compliance resource that includes many valuable features to keep your clients out of the “penalty box.”  We also serve as a valuable resource to agencies and the support that ThinkHR provides to agency staff can reduce workloads and improve accuracy and efficiency for our broker partners.  Below is a summary of the services and resources included in your monthly fees: </w:t>
      </w:r>
    </w:p>
    <w:p w:rsidR="00BC0028" w:rsidRPr="003851B8" w:rsidRDefault="00BC0028" w:rsidP="00BC0028">
      <w:pPr>
        <w:pStyle w:val="ListParagraph"/>
        <w:numPr>
          <w:ilvl w:val="0"/>
          <w:numId w:val="9"/>
        </w:numPr>
        <w:spacing w:after="0" w:line="240" w:lineRule="auto"/>
        <w:contextualSpacing w:val="0"/>
      </w:pPr>
      <w:r w:rsidRPr="003851B8">
        <w:t>Experienced HR Advisors with SPHR/PHR designations standing by the phone ready to answer calls “Live” 11 hours every business day</w:t>
      </w:r>
    </w:p>
    <w:p w:rsidR="00BC0028" w:rsidRPr="003851B8" w:rsidRDefault="00BC0028" w:rsidP="00BC0028">
      <w:pPr>
        <w:pStyle w:val="ListParagraph"/>
        <w:numPr>
          <w:ilvl w:val="0"/>
          <w:numId w:val="9"/>
        </w:numPr>
        <w:spacing w:after="0" w:line="240" w:lineRule="auto"/>
        <w:contextualSpacing w:val="0"/>
      </w:pPr>
      <w:r w:rsidRPr="003851B8">
        <w:t>Daily monitoring of legislative updates on a state and federal level</w:t>
      </w:r>
    </w:p>
    <w:p w:rsidR="00BC0028" w:rsidRPr="003851B8" w:rsidRDefault="00BC0028" w:rsidP="00BC0028">
      <w:pPr>
        <w:pStyle w:val="ListParagraph"/>
        <w:numPr>
          <w:ilvl w:val="0"/>
          <w:numId w:val="9"/>
        </w:numPr>
        <w:spacing w:after="0" w:line="240" w:lineRule="auto"/>
        <w:contextualSpacing w:val="0"/>
      </w:pPr>
      <w:r w:rsidRPr="003851B8">
        <w:t>Alerts notifying you and your clients about state and federal level employment law changes and updates</w:t>
      </w:r>
    </w:p>
    <w:p w:rsidR="00BC0028" w:rsidRPr="003851B8" w:rsidRDefault="00BC0028" w:rsidP="00BC0028">
      <w:pPr>
        <w:pStyle w:val="ListParagraph"/>
        <w:numPr>
          <w:ilvl w:val="0"/>
          <w:numId w:val="9"/>
        </w:numPr>
        <w:spacing w:after="0" w:line="240" w:lineRule="auto"/>
        <w:contextualSpacing w:val="0"/>
      </w:pPr>
      <w:r w:rsidRPr="003851B8">
        <w:t>Maintenance of 5,000+ document resource Library with tools, checklists, and resources</w:t>
      </w:r>
    </w:p>
    <w:p w:rsidR="00BC0028" w:rsidRPr="003851B8" w:rsidRDefault="00BC0028" w:rsidP="00BC0028">
      <w:pPr>
        <w:pStyle w:val="ListParagraph"/>
        <w:numPr>
          <w:ilvl w:val="0"/>
          <w:numId w:val="9"/>
        </w:numPr>
        <w:spacing w:after="0" w:line="240" w:lineRule="auto"/>
        <w:contextualSpacing w:val="0"/>
      </w:pPr>
      <w:r w:rsidRPr="003851B8">
        <w:t>Development and maintenance of technology allowing an easy-to-use user interface between our partners and their clients</w:t>
      </w:r>
    </w:p>
    <w:p w:rsidR="00BC0028" w:rsidRPr="003851B8" w:rsidRDefault="00BC0028" w:rsidP="00BC0028">
      <w:pPr>
        <w:pStyle w:val="ListParagraph"/>
        <w:numPr>
          <w:ilvl w:val="0"/>
          <w:numId w:val="9"/>
        </w:numPr>
        <w:spacing w:after="0" w:line="240" w:lineRule="auto"/>
        <w:contextualSpacing w:val="0"/>
      </w:pPr>
      <w:r w:rsidRPr="003851B8">
        <w:t>Dashboard allowing usage information and client enrollment/updates</w:t>
      </w:r>
    </w:p>
    <w:p w:rsidR="00BC0028" w:rsidRPr="003851B8" w:rsidRDefault="00BC0028" w:rsidP="00BC0028">
      <w:pPr>
        <w:pStyle w:val="ListParagraph"/>
        <w:numPr>
          <w:ilvl w:val="0"/>
          <w:numId w:val="9"/>
        </w:numPr>
        <w:spacing w:after="0" w:line="240" w:lineRule="auto"/>
        <w:contextualSpacing w:val="0"/>
      </w:pPr>
      <w:r w:rsidRPr="003851B8">
        <w:t>Maintenance of a branded service platform with our partners name/logo</w:t>
      </w:r>
    </w:p>
    <w:p w:rsidR="00BC0028" w:rsidRPr="003851B8" w:rsidRDefault="00BC0028" w:rsidP="00BC0028">
      <w:pPr>
        <w:pStyle w:val="ListParagraph"/>
        <w:numPr>
          <w:ilvl w:val="0"/>
          <w:numId w:val="9"/>
        </w:numPr>
        <w:spacing w:after="0" w:line="240" w:lineRule="auto"/>
        <w:contextualSpacing w:val="0"/>
      </w:pPr>
      <w:r w:rsidRPr="003851B8">
        <w:t>Development and design of over 200+ web training courses, including many state mandated materials</w:t>
      </w:r>
    </w:p>
    <w:p w:rsidR="00BC0028" w:rsidRPr="003851B8" w:rsidRDefault="00BC0028" w:rsidP="00BC0028">
      <w:pPr>
        <w:pStyle w:val="ListParagraph"/>
        <w:numPr>
          <w:ilvl w:val="0"/>
          <w:numId w:val="9"/>
        </w:numPr>
        <w:spacing w:after="0" w:line="240" w:lineRule="auto"/>
        <w:contextualSpacing w:val="0"/>
      </w:pPr>
      <w:r w:rsidRPr="003851B8">
        <w:t>Over 6 HRCI approved and accredited “Live” interactive webinars every year</w:t>
      </w:r>
    </w:p>
    <w:p w:rsidR="00BC0028" w:rsidRPr="003851B8" w:rsidRDefault="00BC0028" w:rsidP="00BC0028">
      <w:pPr>
        <w:pStyle w:val="ListParagraph"/>
        <w:numPr>
          <w:ilvl w:val="0"/>
          <w:numId w:val="9"/>
        </w:numPr>
        <w:spacing w:after="0" w:line="240" w:lineRule="auto"/>
        <w:contextualSpacing w:val="0"/>
      </w:pPr>
      <w:r w:rsidRPr="003851B8">
        <w:t>Authoring of more than 12 original whitepapers and resources every year including ACA Checklists, Benefits Notice Calendars, Social Media Policy, FMLA Best Practices – and more!</w:t>
      </w:r>
    </w:p>
    <w:p w:rsidR="00BC0028" w:rsidRPr="003851B8" w:rsidRDefault="00BC0028" w:rsidP="00BC0028">
      <w:pPr>
        <w:pStyle w:val="ListParagraph"/>
        <w:numPr>
          <w:ilvl w:val="0"/>
          <w:numId w:val="9"/>
        </w:numPr>
        <w:spacing w:after="0" w:line="240" w:lineRule="auto"/>
        <w:contextualSpacing w:val="0"/>
      </w:pPr>
      <w:r w:rsidRPr="003851B8">
        <w:t>Attorneys who review and approve the accuracy of ThinkHR resource materials</w:t>
      </w:r>
    </w:p>
    <w:p w:rsidR="003851B8" w:rsidRDefault="00BC0028" w:rsidP="003851B8">
      <w:pPr>
        <w:pStyle w:val="ListParagraph"/>
        <w:numPr>
          <w:ilvl w:val="0"/>
          <w:numId w:val="9"/>
        </w:numPr>
        <w:spacing w:after="0" w:line="240" w:lineRule="auto"/>
        <w:contextualSpacing w:val="0"/>
      </w:pPr>
      <w:r w:rsidRPr="003851B8">
        <w:t>Creation of HR Newsletters sent every other week to keep clients informed and updated on important HR news and topic</w:t>
      </w:r>
    </w:p>
    <w:p w:rsidR="00E33D7C" w:rsidRPr="003851B8" w:rsidRDefault="00E33D7C" w:rsidP="00E33D7C">
      <w:pPr>
        <w:pStyle w:val="ListParagraph"/>
        <w:spacing w:after="0" w:line="240" w:lineRule="auto"/>
        <w:contextualSpacing w:val="0"/>
      </w:pPr>
    </w:p>
    <w:p w:rsidR="007D4729" w:rsidRPr="00BC0028" w:rsidRDefault="0049268C" w:rsidP="00BC0028">
      <w:pPr>
        <w:rPr>
          <w:i/>
          <w:iCs/>
        </w:rPr>
      </w:pPr>
      <w:r>
        <w:rPr>
          <w:b/>
          <w:u w:val="single"/>
        </w:rPr>
        <w:t>Usage Summary</w:t>
      </w:r>
      <w:r w:rsidR="00F87EE0" w:rsidRPr="00280FCE">
        <w:rPr>
          <w:b/>
        </w:rPr>
        <w:t xml:space="preserve"> </w:t>
      </w:r>
      <w:r w:rsidR="00280FCE" w:rsidRPr="00280FCE">
        <w:rPr>
          <w:b/>
        </w:rPr>
        <w:t xml:space="preserve">                                                                                                             </w:t>
      </w:r>
    </w:p>
    <w:tbl>
      <w:tblPr>
        <w:tblStyle w:val="TableGrid"/>
        <w:tblW w:w="0" w:type="auto"/>
        <w:tblLook w:val="04A0" w:firstRow="1" w:lastRow="0" w:firstColumn="1" w:lastColumn="0" w:noHBand="0" w:noVBand="1"/>
      </w:tblPr>
      <w:tblGrid>
        <w:gridCol w:w="4607"/>
        <w:gridCol w:w="4568"/>
      </w:tblGrid>
      <w:tr w:rsidR="00CF37BA" w:rsidTr="00BC0028">
        <w:trPr>
          <w:trHeight w:val="308"/>
        </w:trPr>
        <w:tc>
          <w:tcPr>
            <w:tcW w:w="4607" w:type="dxa"/>
          </w:tcPr>
          <w:p w:rsidR="00CF37BA" w:rsidRPr="002D1D7D" w:rsidRDefault="00087342" w:rsidP="00D44578">
            <w:r>
              <w:t>Web</w:t>
            </w:r>
            <w:r w:rsidR="00CF37BA">
              <w:t xml:space="preserve"> Customer Usage</w:t>
            </w:r>
          </w:p>
        </w:tc>
        <w:tc>
          <w:tcPr>
            <w:tcW w:w="4568" w:type="dxa"/>
          </w:tcPr>
          <w:p w:rsidR="00CF37BA" w:rsidRPr="002D1D7D" w:rsidRDefault="00CF37BA" w:rsidP="007E3A3F">
            <w:r>
              <w:t xml:space="preserve"> </w:t>
            </w:r>
            <w:r w:rsidR="009A2075">
              <w:t xml:space="preserve">524 </w:t>
            </w:r>
            <w:r>
              <w:t>inquiries</w:t>
            </w:r>
          </w:p>
        </w:tc>
      </w:tr>
      <w:tr w:rsidR="00CF37BA" w:rsidTr="00BC0028">
        <w:trPr>
          <w:trHeight w:val="292"/>
        </w:trPr>
        <w:tc>
          <w:tcPr>
            <w:tcW w:w="4607" w:type="dxa"/>
          </w:tcPr>
          <w:p w:rsidR="00CF37BA" w:rsidRDefault="00CF37BA" w:rsidP="007E3A3F">
            <w:r>
              <w:t>Live HR Consultations</w:t>
            </w:r>
          </w:p>
        </w:tc>
        <w:tc>
          <w:tcPr>
            <w:tcW w:w="4568" w:type="dxa"/>
          </w:tcPr>
          <w:p w:rsidR="00CF37BA" w:rsidRDefault="009A2075" w:rsidP="007E3A3F">
            <w:r>
              <w:t>103</w:t>
            </w:r>
            <w:r w:rsidR="00CF37BA">
              <w:t xml:space="preserve"> </w:t>
            </w:r>
          </w:p>
        </w:tc>
      </w:tr>
      <w:tr w:rsidR="00CF37BA" w:rsidTr="00BC0028">
        <w:trPr>
          <w:trHeight w:val="308"/>
        </w:trPr>
        <w:tc>
          <w:tcPr>
            <w:tcW w:w="4607" w:type="dxa"/>
          </w:tcPr>
          <w:p w:rsidR="00CF37BA" w:rsidRDefault="00CF37BA" w:rsidP="007E3A3F">
            <w:r>
              <w:t>Total Training Courses Taken</w:t>
            </w:r>
          </w:p>
        </w:tc>
        <w:tc>
          <w:tcPr>
            <w:tcW w:w="4568" w:type="dxa"/>
          </w:tcPr>
          <w:p w:rsidR="00CF37BA" w:rsidRDefault="007172EB" w:rsidP="003B60E4">
            <w:r>
              <w:t>75</w:t>
            </w:r>
            <w:r w:rsidR="00CF37BA">
              <w:t xml:space="preserve"> (</w:t>
            </w:r>
            <w:r w:rsidR="003B60E4">
              <w:t>53 hours)</w:t>
            </w:r>
          </w:p>
        </w:tc>
      </w:tr>
      <w:tr w:rsidR="00CF37BA" w:rsidTr="00BC0028">
        <w:trPr>
          <w:trHeight w:val="292"/>
        </w:trPr>
        <w:tc>
          <w:tcPr>
            <w:tcW w:w="4607" w:type="dxa"/>
          </w:tcPr>
          <w:p w:rsidR="00CF37BA" w:rsidRDefault="00CF37BA" w:rsidP="007E3A3F">
            <w:r>
              <w:t>HRCI Webinar Attendees</w:t>
            </w:r>
          </w:p>
        </w:tc>
        <w:tc>
          <w:tcPr>
            <w:tcW w:w="4568" w:type="dxa"/>
          </w:tcPr>
          <w:p w:rsidR="00CF37BA" w:rsidRDefault="007172EB" w:rsidP="007E3A3F">
            <w:r>
              <w:t>12 (20 hours)</w:t>
            </w:r>
          </w:p>
        </w:tc>
      </w:tr>
      <w:tr w:rsidR="00CF37BA" w:rsidTr="00BC0028">
        <w:trPr>
          <w:trHeight w:val="632"/>
        </w:trPr>
        <w:tc>
          <w:tcPr>
            <w:tcW w:w="4607" w:type="dxa"/>
          </w:tcPr>
          <w:p w:rsidR="00CF37BA" w:rsidRDefault="00CF37BA" w:rsidP="00E6231E">
            <w:r>
              <w:t>Branded email communications (</w:t>
            </w:r>
            <w:r w:rsidR="00E6231E">
              <w:t>HR Alerts &amp; Newsletters)</w:t>
            </w:r>
          </w:p>
        </w:tc>
        <w:tc>
          <w:tcPr>
            <w:tcW w:w="4568" w:type="dxa"/>
          </w:tcPr>
          <w:p w:rsidR="00CF37BA" w:rsidRDefault="006C485F" w:rsidP="007E3A3F">
            <w:r>
              <w:t>Total Sent: 6,000</w:t>
            </w:r>
          </w:p>
          <w:p w:rsidR="00CF37BA" w:rsidRDefault="006C485F" w:rsidP="007E3A3F">
            <w:r>
              <w:t>Total Read: 3,000</w:t>
            </w:r>
          </w:p>
        </w:tc>
      </w:tr>
      <w:tr w:rsidR="00CF37BA" w:rsidTr="00E6231E">
        <w:trPr>
          <w:trHeight w:val="260"/>
        </w:trPr>
        <w:tc>
          <w:tcPr>
            <w:tcW w:w="4607" w:type="dxa"/>
          </w:tcPr>
          <w:p w:rsidR="00CF37BA" w:rsidRDefault="00CF37BA" w:rsidP="007E3A3F">
            <w:r>
              <w:t>Broker Tool Kit Resources Provided</w:t>
            </w:r>
          </w:p>
        </w:tc>
        <w:tc>
          <w:tcPr>
            <w:tcW w:w="4568" w:type="dxa"/>
          </w:tcPr>
          <w:p w:rsidR="00D80697" w:rsidRDefault="00D80697" w:rsidP="00D80697">
            <w:r>
              <w:t>Benefits Notice Calendar: 7/2013</w:t>
            </w:r>
          </w:p>
          <w:p w:rsidR="00D80697" w:rsidRDefault="00D80697" w:rsidP="00D80697">
            <w:r>
              <w:t>Notice Of Coverage: 9/2013</w:t>
            </w:r>
          </w:p>
          <w:p w:rsidR="00D80697" w:rsidRDefault="00D80697" w:rsidP="00D80697">
            <w:r>
              <w:t xml:space="preserve">ACA Checklist: 10/2013 </w:t>
            </w:r>
          </w:p>
          <w:p w:rsidR="00D80697" w:rsidRDefault="00D80697" w:rsidP="00D80697">
            <w:r>
              <w:t>Federal  HR Compliance Chart: 11/2013</w:t>
            </w:r>
          </w:p>
          <w:p w:rsidR="00CF37BA" w:rsidRDefault="00D80697" w:rsidP="00D80697">
            <w:r>
              <w:t>2014 State &amp; Federal Minimum Wages: 12/2013</w:t>
            </w:r>
          </w:p>
        </w:tc>
      </w:tr>
    </w:tbl>
    <w:p w:rsidR="00E6231E" w:rsidRDefault="00E6231E" w:rsidP="00EE2997">
      <w:pPr>
        <w:jc w:val="center"/>
        <w:rPr>
          <w:b/>
          <w:noProof/>
          <w:sz w:val="36"/>
          <w:szCs w:val="36"/>
          <w:u w:val="single"/>
        </w:rPr>
      </w:pPr>
    </w:p>
    <w:p w:rsidR="00AD0DEC" w:rsidRDefault="00AD0DEC">
      <w:pPr>
        <w:rPr>
          <w:b/>
          <w:noProof/>
          <w:sz w:val="36"/>
          <w:szCs w:val="36"/>
          <w:u w:val="single"/>
        </w:rPr>
      </w:pPr>
      <w:r>
        <w:rPr>
          <w:b/>
          <w:noProof/>
          <w:sz w:val="36"/>
          <w:szCs w:val="36"/>
          <w:u w:val="single"/>
        </w:rPr>
        <w:br w:type="page"/>
      </w:r>
    </w:p>
    <w:p w:rsidR="00143FA9" w:rsidRDefault="008E6475" w:rsidP="00EE2997">
      <w:pPr>
        <w:jc w:val="center"/>
        <w:rPr>
          <w:b/>
          <w:noProof/>
          <w:sz w:val="36"/>
          <w:szCs w:val="36"/>
          <w:u w:val="single"/>
        </w:rPr>
      </w:pPr>
      <w:bookmarkStart w:id="0" w:name="_GoBack"/>
      <w:bookmarkEnd w:id="0"/>
      <w:r>
        <w:rPr>
          <w:b/>
          <w:noProof/>
          <w:sz w:val="36"/>
          <w:szCs w:val="36"/>
          <w:u w:val="single"/>
        </w:rPr>
        <w:t>Summary of Client Usage</w:t>
      </w:r>
    </w:p>
    <w:p w:rsidR="00DC07E9" w:rsidRDefault="008E6475" w:rsidP="00DC07E9">
      <w:pPr>
        <w:jc w:val="center"/>
        <w:rPr>
          <w:noProof/>
        </w:rPr>
      </w:pPr>
      <w:r>
        <w:rPr>
          <w:noProof/>
        </w:rPr>
        <mc:AlternateContent>
          <mc:Choice Requires="wps">
            <w:drawing>
              <wp:anchor distT="0" distB="0" distL="114300" distR="114300" simplePos="0" relativeHeight="251694080" behindDoc="0" locked="0" layoutInCell="1" allowOverlap="1" wp14:anchorId="22E3A393" wp14:editId="12070DC1">
                <wp:simplePos x="0" y="0"/>
                <wp:positionH relativeFrom="column">
                  <wp:posOffset>3486150</wp:posOffset>
                </wp:positionH>
                <wp:positionV relativeFrom="paragraph">
                  <wp:posOffset>4391025</wp:posOffset>
                </wp:positionV>
                <wp:extent cx="3705225" cy="4210050"/>
                <wp:effectExtent l="0" t="0" r="28575"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9B3EA0">
                            <w:r>
                              <w:rPr>
                                <w:noProof/>
                              </w:rPr>
                              <w:drawing>
                                <wp:inline distT="0" distB="0" distL="0" distR="0" wp14:anchorId="2B3C309B" wp14:editId="01733307">
                                  <wp:extent cx="3657600" cy="4162425"/>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74.5pt;margin-top:345.75pt;width:291.75pt;height:33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">
                <v:textbox>
                  <w:txbxContent>
                    <w:p w:rsidR="006C485F" w:rsidRDefault="006C485F" w:rsidP="009B3EA0">
                      <w:r>
                        <w:rPr>
                          <w:noProof/>
                        </w:rPr>
                        <w:drawing>
                          <wp:inline distT="0" distB="0" distL="0" distR="0" wp14:anchorId="2B3C309B" wp14:editId="01733307">
                            <wp:extent cx="3657600" cy="4162425"/>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xbxContent>
                </v:textbox>
              </v:shape>
            </w:pict>
          </mc:Fallback>
        </mc:AlternateContent>
      </w:r>
      <w:r>
        <w:rPr>
          <w:noProof/>
        </w:rPr>
        <mc:AlternateContent>
          <mc:Choice Requires="wps">
            <w:drawing>
              <wp:anchor distT="0" distB="0" distL="114300" distR="114300" simplePos="0" relativeHeight="251708416" behindDoc="0" locked="0" layoutInCell="1" allowOverlap="1" wp14:anchorId="41E94A02" wp14:editId="2DC8F503">
                <wp:simplePos x="0" y="0"/>
                <wp:positionH relativeFrom="column">
                  <wp:posOffset>-314325</wp:posOffset>
                </wp:positionH>
                <wp:positionV relativeFrom="paragraph">
                  <wp:posOffset>4391025</wp:posOffset>
                </wp:positionV>
                <wp:extent cx="3705225" cy="4210050"/>
                <wp:effectExtent l="0" t="0" r="28575"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8E6475">
                            <w:r>
                              <w:rPr>
                                <w:noProof/>
                              </w:rPr>
                              <w:drawing>
                                <wp:inline distT="0" distB="0" distL="0" distR="0" wp14:anchorId="4BA9A363" wp14:editId="5334F913">
                                  <wp:extent cx="3514725" cy="4162425"/>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4.75pt;margin-top:345.75pt;width:291.75pt;height:33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">
                <v:textbox>
                  <w:txbxContent>
                    <w:p w:rsidR="006C485F" w:rsidRDefault="006C485F" w:rsidP="008E6475">
                      <w:r>
                        <w:rPr>
                          <w:noProof/>
                        </w:rPr>
                        <w:drawing>
                          <wp:inline distT="0" distB="0" distL="0" distR="0" wp14:anchorId="4BA9A363" wp14:editId="5334F913">
                            <wp:extent cx="3514725" cy="4162425"/>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116C361B" wp14:editId="7F645E41">
                <wp:simplePos x="0" y="0"/>
                <wp:positionH relativeFrom="column">
                  <wp:posOffset>3486150</wp:posOffset>
                </wp:positionH>
                <wp:positionV relativeFrom="paragraph">
                  <wp:posOffset>0</wp:posOffset>
                </wp:positionV>
                <wp:extent cx="3705225" cy="4210050"/>
                <wp:effectExtent l="0" t="0" r="28575"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8E6475">
                            <w:r>
                              <w:rPr>
                                <w:noProof/>
                              </w:rPr>
                              <w:drawing>
                                <wp:inline distT="0" distB="0" distL="0" distR="0" wp14:anchorId="0ADFA6C6" wp14:editId="443846A9">
                                  <wp:extent cx="3514725" cy="4114800"/>
                                  <wp:effectExtent l="0" t="0" r="0" b="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74.5pt;margin-top:0;width:291.75pt;height:33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">
                <v:textbox>
                  <w:txbxContent>
                    <w:p w:rsidR="006C485F" w:rsidRDefault="006C485F" w:rsidP="008E6475">
                      <w:r>
                        <w:rPr>
                          <w:noProof/>
                        </w:rPr>
                        <w:drawing>
                          <wp:inline distT="0" distB="0" distL="0" distR="0" wp14:anchorId="0ADFA6C6" wp14:editId="443846A9">
                            <wp:extent cx="3514725" cy="4114800"/>
                            <wp:effectExtent l="0" t="0" r="0" b="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xbxContent>
                </v:textbox>
              </v:shape>
            </w:pict>
          </mc:Fallback>
        </mc:AlternateContent>
      </w:r>
      <w:r w:rsidR="00231A57">
        <w:rPr>
          <w:noProof/>
        </w:rPr>
        <mc:AlternateContent>
          <mc:Choice Requires="wps">
            <w:drawing>
              <wp:anchor distT="0" distB="0" distL="114300" distR="114300" simplePos="0" relativeHeight="251687936" behindDoc="0" locked="0" layoutInCell="1" allowOverlap="1" wp14:anchorId="4880E983" wp14:editId="148B10D9">
                <wp:simplePos x="0" y="0"/>
                <wp:positionH relativeFrom="column">
                  <wp:posOffset>-314325</wp:posOffset>
                </wp:positionH>
                <wp:positionV relativeFrom="paragraph">
                  <wp:posOffset>0</wp:posOffset>
                </wp:positionV>
                <wp:extent cx="3705225" cy="4210050"/>
                <wp:effectExtent l="0" t="0" r="28575"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231A57">
                            <w:r>
                              <w:rPr>
                                <w:noProof/>
                              </w:rPr>
                              <w:drawing>
                                <wp:inline distT="0" distB="0" distL="0" distR="0" wp14:anchorId="7F436131" wp14:editId="01B725A9">
                                  <wp:extent cx="3609975" cy="4114800"/>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4.75pt;margin-top:0;width:291.75pt;height:33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">
                <v:textbox>
                  <w:txbxContent>
                    <w:p w:rsidR="006C485F" w:rsidRDefault="006C485F" w:rsidP="00231A57">
                      <w:r>
                        <w:rPr>
                          <w:noProof/>
                        </w:rPr>
                        <w:drawing>
                          <wp:inline distT="0" distB="0" distL="0" distR="0" wp14:anchorId="7F436131" wp14:editId="01B725A9">
                            <wp:extent cx="3609975" cy="4114800"/>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xbxContent>
                </v:textbox>
              </v:shape>
            </w:pict>
          </mc:Fallback>
        </mc:AlternateContent>
      </w:r>
      <w:r w:rsidR="00DC07E9">
        <w:rPr>
          <w:noProof/>
        </w:rPr>
        <w:br w:type="page"/>
      </w:r>
    </w:p>
    <w:p w:rsidR="00143FA9" w:rsidRPr="00DA6BDF" w:rsidRDefault="00DA17D6" w:rsidP="009B3EA0">
      <w:pPr>
        <w:jc w:val="center"/>
        <w:rPr>
          <w:b/>
          <w:noProof/>
          <w:sz w:val="36"/>
          <w:szCs w:val="36"/>
          <w:u w:val="single"/>
        </w:rPr>
      </w:pPr>
      <w:r>
        <w:rPr>
          <w:b/>
          <w:noProof/>
          <w:sz w:val="36"/>
          <w:szCs w:val="36"/>
          <w:u w:val="single"/>
        </w:rPr>
        <w:lastRenderedPageBreak/>
        <w:t>Summary of Client Usage (continued)</w:t>
      </w:r>
    </w:p>
    <w:p w:rsidR="00725C21" w:rsidRDefault="004975B9">
      <w:pPr>
        <w:rPr>
          <w:noProof/>
        </w:rPr>
      </w:pPr>
      <w:r>
        <w:rPr>
          <w:noProof/>
        </w:rPr>
        <mc:AlternateContent>
          <mc:Choice Requires="wps">
            <w:drawing>
              <wp:anchor distT="0" distB="0" distL="114300" distR="114300" simplePos="0" relativeHeight="251692032" behindDoc="0" locked="0" layoutInCell="1" allowOverlap="1" wp14:anchorId="30339D2D" wp14:editId="47218384">
                <wp:simplePos x="0" y="0"/>
                <wp:positionH relativeFrom="column">
                  <wp:posOffset>-352425</wp:posOffset>
                </wp:positionH>
                <wp:positionV relativeFrom="paragraph">
                  <wp:posOffset>38100</wp:posOffset>
                </wp:positionV>
                <wp:extent cx="3705225" cy="4210050"/>
                <wp:effectExtent l="0" t="0" r="28575"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3B0B79" w:rsidP="00231A57">
                            <w:r>
                              <w:rPr>
                                <w:noProof/>
                              </w:rPr>
                              <w:drawing>
                                <wp:inline distT="0" distB="0" distL="0" distR="0" wp14:anchorId="5C7FFEAF" wp14:editId="69CB3F26">
                                  <wp:extent cx="3619500" cy="4191000"/>
                                  <wp:effectExtent l="0" t="0" r="19050" b="1905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7.75pt;margin-top:3pt;width:291.75pt;height:33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">
                <v:textbox>
                  <w:txbxContent>
                    <w:p w:rsidR="006C485F" w:rsidRDefault="003B0B79" w:rsidP="00231A57">
                      <w:r>
                        <w:rPr>
                          <w:noProof/>
                        </w:rPr>
                        <w:drawing>
                          <wp:inline distT="0" distB="0" distL="0" distR="0" wp14:anchorId="5C7FFEAF" wp14:editId="69CB3F26">
                            <wp:extent cx="3619500" cy="4191000"/>
                            <wp:effectExtent l="0" t="0" r="19050" b="1905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xbxContent>
                </v:textbox>
              </v:shape>
            </w:pict>
          </mc:Fallback>
        </mc:AlternateContent>
      </w:r>
      <w:r>
        <w:rPr>
          <w:noProof/>
        </w:rPr>
        <mc:AlternateContent>
          <mc:Choice Requires="wps">
            <w:drawing>
              <wp:anchor distT="0" distB="0" distL="114300" distR="114300" simplePos="0" relativeHeight="251700224" behindDoc="0" locked="0" layoutInCell="1" allowOverlap="1" wp14:anchorId="7FB31C33" wp14:editId="154DD17B">
                <wp:simplePos x="0" y="0"/>
                <wp:positionH relativeFrom="column">
                  <wp:posOffset>3438525</wp:posOffset>
                </wp:positionH>
                <wp:positionV relativeFrom="paragraph">
                  <wp:posOffset>38100</wp:posOffset>
                </wp:positionV>
                <wp:extent cx="3705225" cy="4210050"/>
                <wp:effectExtent l="0" t="0" r="28575"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9B3EA0">
                            <w:r>
                              <w:rPr>
                                <w:noProof/>
                              </w:rPr>
                              <w:drawing>
                                <wp:inline distT="0" distB="0" distL="0" distR="0" wp14:anchorId="369FB2E0" wp14:editId="7419EDBF">
                                  <wp:extent cx="3514725" cy="4162425"/>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Pr>
                                <w:noProof/>
                              </w:rPr>
                              <w:drawing>
                                <wp:inline distT="0" distB="0" distL="0" distR="0" wp14:anchorId="0CB885AD" wp14:editId="1DECF586">
                                  <wp:extent cx="3781425" cy="4162425"/>
                                  <wp:effectExtent l="0" t="0" r="9525" b="9525"/>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70.75pt;margin-top:3pt;width:291.75pt;height:33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">
                <v:textbox>
                  <w:txbxContent>
                    <w:p w:rsidR="006C485F" w:rsidRDefault="006C485F" w:rsidP="009B3EA0">
                      <w:r>
                        <w:rPr>
                          <w:noProof/>
                        </w:rPr>
                        <w:drawing>
                          <wp:inline distT="0" distB="0" distL="0" distR="0" wp14:anchorId="369FB2E0" wp14:editId="7419EDBF">
                            <wp:extent cx="3514725" cy="4162425"/>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Pr>
                          <w:noProof/>
                        </w:rPr>
                        <w:drawing>
                          <wp:inline distT="0" distB="0" distL="0" distR="0" wp14:anchorId="0CB885AD" wp14:editId="1DECF586">
                            <wp:extent cx="3781425" cy="4162425"/>
                            <wp:effectExtent l="0" t="0" r="9525" b="9525"/>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xbxContent>
                </v:textbox>
              </v:shape>
            </w:pict>
          </mc:Fallback>
        </mc:AlternateContent>
      </w:r>
    </w:p>
    <w:p w:rsidR="00725C21" w:rsidRDefault="00725C21">
      <w:pPr>
        <w:rPr>
          <w:noProof/>
        </w:rPr>
      </w:pPr>
    </w:p>
    <w:p w:rsidR="00725C21" w:rsidRDefault="00725C21">
      <w:pPr>
        <w:rPr>
          <w:noProof/>
        </w:rPr>
      </w:pPr>
    </w:p>
    <w:p w:rsidR="0037075A" w:rsidRPr="0037075A" w:rsidRDefault="004975B9" w:rsidP="0037075A">
      <w:pPr>
        <w:jc w:val="center"/>
        <w:rPr>
          <w:noProof/>
        </w:rPr>
      </w:pPr>
      <w:r>
        <w:rPr>
          <w:noProof/>
        </w:rPr>
        <mc:AlternateContent>
          <mc:Choice Requires="wps">
            <w:drawing>
              <wp:anchor distT="0" distB="0" distL="114300" distR="114300" simplePos="0" relativeHeight="251698176" behindDoc="0" locked="0" layoutInCell="1" allowOverlap="1" wp14:anchorId="4B4A00F8" wp14:editId="71140235">
                <wp:simplePos x="0" y="0"/>
                <wp:positionH relativeFrom="column">
                  <wp:posOffset>3429000</wp:posOffset>
                </wp:positionH>
                <wp:positionV relativeFrom="paragraph">
                  <wp:posOffset>3469005</wp:posOffset>
                </wp:positionV>
                <wp:extent cx="3705225" cy="4210050"/>
                <wp:effectExtent l="0" t="0" r="28575" b="1905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9B3EA0">
                            <w:r>
                              <w:rPr>
                                <w:noProof/>
                              </w:rPr>
                              <w:drawing>
                                <wp:inline distT="0" distB="0" distL="0" distR="0" wp14:anchorId="79157835" wp14:editId="7F01D5B2">
                                  <wp:extent cx="3609975" cy="4152900"/>
                                  <wp:effectExtent l="0" t="0" r="0" b="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270pt;margin-top:273.15pt;width:291.75pt;height:33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">
                <v:textbox>
                  <w:txbxContent>
                    <w:p w:rsidR="006C485F" w:rsidRDefault="006C485F" w:rsidP="009B3EA0">
                      <w:r>
                        <w:rPr>
                          <w:noProof/>
                        </w:rPr>
                        <w:drawing>
                          <wp:inline distT="0" distB="0" distL="0" distR="0" wp14:anchorId="79157835" wp14:editId="7F01D5B2">
                            <wp:extent cx="3609975" cy="4152900"/>
                            <wp:effectExtent l="0" t="0" r="0" b="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xbxContent>
                </v:textbox>
              </v:shape>
            </w:pict>
          </mc:Fallback>
        </mc:AlternateContent>
      </w:r>
      <w:r>
        <w:rPr>
          <w:noProof/>
        </w:rPr>
        <mc:AlternateContent>
          <mc:Choice Requires="wps">
            <w:drawing>
              <wp:anchor distT="0" distB="0" distL="114300" distR="114300" simplePos="0" relativeHeight="251706368" behindDoc="0" locked="0" layoutInCell="1" allowOverlap="1" wp14:anchorId="27A59C79" wp14:editId="1770931E">
                <wp:simplePos x="0" y="0"/>
                <wp:positionH relativeFrom="column">
                  <wp:posOffset>-352425</wp:posOffset>
                </wp:positionH>
                <wp:positionV relativeFrom="paragraph">
                  <wp:posOffset>3469005</wp:posOffset>
                </wp:positionV>
                <wp:extent cx="3705225" cy="4210050"/>
                <wp:effectExtent l="0" t="0" r="28575"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8E6475">
                            <w:r>
                              <w:rPr>
                                <w:noProof/>
                              </w:rPr>
                              <w:drawing>
                                <wp:inline distT="0" distB="0" distL="0" distR="0" wp14:anchorId="76773722" wp14:editId="2FC7C85A">
                                  <wp:extent cx="3562350" cy="4105275"/>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7.75pt;margin-top:273.15pt;width:291.75pt;height:33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">
                <v:textbox>
                  <w:txbxContent>
                    <w:p w:rsidR="006C485F" w:rsidRDefault="006C485F" w:rsidP="008E6475">
                      <w:r>
                        <w:rPr>
                          <w:noProof/>
                        </w:rPr>
                        <w:drawing>
                          <wp:inline distT="0" distB="0" distL="0" distR="0" wp14:anchorId="76773722" wp14:editId="2FC7C85A">
                            <wp:extent cx="3562350" cy="4105275"/>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xbxContent>
                </v:textbox>
              </v:shape>
            </w:pict>
          </mc:Fallback>
        </mc:AlternateContent>
      </w:r>
      <w:r w:rsidR="00DA6BDF">
        <w:rPr>
          <w:noProof/>
        </w:rPr>
        <w:br w:type="page"/>
      </w:r>
      <w:r w:rsidR="00B06702">
        <w:rPr>
          <w:b/>
          <w:noProof/>
          <w:sz w:val="36"/>
          <w:szCs w:val="36"/>
          <w:u w:val="single"/>
        </w:rPr>
        <w:lastRenderedPageBreak/>
        <w:t xml:space="preserve">Summary of </w:t>
      </w:r>
      <w:r w:rsidR="00D71118">
        <w:rPr>
          <w:b/>
          <w:noProof/>
          <w:sz w:val="36"/>
          <w:szCs w:val="36"/>
          <w:u w:val="single"/>
        </w:rPr>
        <w:t>Broker</w:t>
      </w:r>
      <w:r w:rsidR="006425B1">
        <w:rPr>
          <w:b/>
          <w:noProof/>
          <w:sz w:val="36"/>
          <w:szCs w:val="36"/>
          <w:u w:val="single"/>
        </w:rPr>
        <w:t xml:space="preserve"> Usage</w:t>
      </w:r>
      <w:r w:rsidR="00725C21" w:rsidRPr="00725C21">
        <w:rPr>
          <w:noProof/>
        </w:rPr>
        <w:t xml:space="preserve"> </w:t>
      </w:r>
    </w:p>
    <w:p w:rsidR="0037075A" w:rsidRDefault="0037075A" w:rsidP="002664EF">
      <w:pPr>
        <w:jc w:val="center"/>
        <w:rPr>
          <w:b/>
          <w:noProof/>
          <w:sz w:val="36"/>
          <w:szCs w:val="36"/>
          <w:u w:val="single"/>
        </w:rPr>
      </w:pPr>
      <w:r>
        <w:rPr>
          <w:noProof/>
        </w:rPr>
        <mc:AlternateContent>
          <mc:Choice Requires="wps">
            <w:drawing>
              <wp:anchor distT="0" distB="0" distL="114300" distR="114300" simplePos="0" relativeHeight="251714560" behindDoc="0" locked="0" layoutInCell="1" allowOverlap="1" wp14:anchorId="64F6D7F0" wp14:editId="6CC70D71">
                <wp:simplePos x="0" y="0"/>
                <wp:positionH relativeFrom="column">
                  <wp:posOffset>3438525</wp:posOffset>
                </wp:positionH>
                <wp:positionV relativeFrom="paragraph">
                  <wp:posOffset>-28575</wp:posOffset>
                </wp:positionV>
                <wp:extent cx="3705225" cy="4210050"/>
                <wp:effectExtent l="0" t="0" r="28575" b="1905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7F697C">
                            <w:r>
                              <w:rPr>
                                <w:noProof/>
                              </w:rPr>
                              <w:drawing>
                                <wp:inline distT="0" distB="0" distL="0" distR="0" wp14:anchorId="41884DB7" wp14:editId="7D2275BB">
                                  <wp:extent cx="3514725" cy="4162425"/>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r>
                              <w:rPr>
                                <w:noProof/>
                              </w:rPr>
                              <w:drawing>
                                <wp:inline distT="0" distB="0" distL="0" distR="0" wp14:anchorId="458816E0" wp14:editId="10E27069">
                                  <wp:extent cx="3609975" cy="4076700"/>
                                  <wp:effectExtent l="0" t="0" r="9525" b="1905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270.75pt;margin-top:-2.25pt;width:291.75pt;height:33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">
                <v:textbox>
                  <w:txbxContent>
                    <w:p w:rsidR="006C485F" w:rsidRDefault="006C485F" w:rsidP="007F697C">
                      <w:r>
                        <w:rPr>
                          <w:noProof/>
                        </w:rPr>
                        <w:drawing>
                          <wp:inline distT="0" distB="0" distL="0" distR="0" wp14:anchorId="41884DB7" wp14:editId="7D2275BB">
                            <wp:extent cx="3514725" cy="4162425"/>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Pr>
                          <w:noProof/>
                        </w:rPr>
                        <w:drawing>
                          <wp:inline distT="0" distB="0" distL="0" distR="0" wp14:anchorId="458816E0" wp14:editId="10E27069">
                            <wp:extent cx="3609975" cy="4076700"/>
                            <wp:effectExtent l="0" t="0" r="9525" b="1905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xbxContent>
                </v:textbox>
              </v:shape>
            </w:pict>
          </mc:Fallback>
        </mc:AlternateContent>
      </w:r>
      <w:r>
        <w:rPr>
          <w:noProof/>
        </w:rPr>
        <mc:AlternateContent>
          <mc:Choice Requires="wps">
            <w:drawing>
              <wp:anchor distT="0" distB="0" distL="114300" distR="114300" simplePos="0" relativeHeight="251712512" behindDoc="0" locked="0" layoutInCell="1" allowOverlap="1" wp14:anchorId="15BF5525" wp14:editId="68321906">
                <wp:simplePos x="0" y="0"/>
                <wp:positionH relativeFrom="column">
                  <wp:posOffset>-352425</wp:posOffset>
                </wp:positionH>
                <wp:positionV relativeFrom="paragraph">
                  <wp:posOffset>-28575</wp:posOffset>
                </wp:positionV>
                <wp:extent cx="3705225" cy="4210050"/>
                <wp:effectExtent l="0" t="0" r="2857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7F697C">
                            <w:r>
                              <w:rPr>
                                <w:noProof/>
                              </w:rPr>
                              <w:drawing>
                                <wp:inline distT="0" distB="0" distL="0" distR="0" wp14:anchorId="2F05E8E1" wp14:editId="4337232E">
                                  <wp:extent cx="3609975" cy="4086225"/>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7.75pt;margin-top:-2.25pt;width:291.75pt;height:33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">
                <v:textbox>
                  <w:txbxContent>
                    <w:p w:rsidR="006C485F" w:rsidRDefault="006C485F" w:rsidP="007F697C">
                      <w:r>
                        <w:rPr>
                          <w:noProof/>
                        </w:rPr>
                        <w:drawing>
                          <wp:inline distT="0" distB="0" distL="0" distR="0" wp14:anchorId="2F05E8E1" wp14:editId="4337232E">
                            <wp:extent cx="3609975" cy="4086225"/>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xbxContent>
                </v:textbox>
              </v:shape>
            </w:pict>
          </mc:Fallback>
        </mc:AlternateContent>
      </w:r>
    </w:p>
    <w:p w:rsidR="0037075A" w:rsidRDefault="00D817B0">
      <w:pPr>
        <w:rPr>
          <w:b/>
          <w:noProof/>
          <w:sz w:val="36"/>
          <w:szCs w:val="36"/>
          <w:u w:val="single"/>
        </w:rPr>
      </w:pPr>
      <w:r>
        <w:rPr>
          <w:noProof/>
        </w:rPr>
        <mc:AlternateContent>
          <mc:Choice Requires="wps">
            <w:drawing>
              <wp:anchor distT="0" distB="0" distL="114300" distR="114300" simplePos="0" relativeHeight="251720704" behindDoc="0" locked="0" layoutInCell="1" allowOverlap="1" wp14:anchorId="0135A830" wp14:editId="0281FBE7">
                <wp:simplePos x="0" y="0"/>
                <wp:positionH relativeFrom="column">
                  <wp:posOffset>3438525</wp:posOffset>
                </wp:positionH>
                <wp:positionV relativeFrom="paragraph">
                  <wp:posOffset>3818890</wp:posOffset>
                </wp:positionV>
                <wp:extent cx="3705225" cy="4210050"/>
                <wp:effectExtent l="0" t="0" r="28575"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D817B0">
                            <w:r>
                              <w:rPr>
                                <w:noProof/>
                              </w:rPr>
                              <w:drawing>
                                <wp:inline distT="0" distB="0" distL="0" distR="0" wp14:anchorId="23569C4F" wp14:editId="2FCADE4D">
                                  <wp:extent cx="3990975" cy="4286250"/>
                                  <wp:effectExtent l="0" t="0" r="0"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r>
                              <w:rPr>
                                <w:noProof/>
                              </w:rPr>
                              <w:drawing>
                                <wp:inline distT="0" distB="0" distL="0" distR="0" wp14:anchorId="09BE9925" wp14:editId="7005DBA2">
                                  <wp:extent cx="3609975" cy="4076700"/>
                                  <wp:effectExtent l="0" t="0" r="9525" b="1905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70.75pt;margin-top:300.7pt;width:291.75pt;height:33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">
                <v:textbox>
                  <w:txbxContent>
                    <w:p w:rsidR="006C485F" w:rsidRDefault="006C485F" w:rsidP="00D817B0">
                      <w:r>
                        <w:rPr>
                          <w:noProof/>
                        </w:rPr>
                        <w:drawing>
                          <wp:inline distT="0" distB="0" distL="0" distR="0" wp14:anchorId="23569C4F" wp14:editId="2FCADE4D">
                            <wp:extent cx="3990975" cy="4286250"/>
                            <wp:effectExtent l="0" t="0" r="0"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Pr>
                          <w:noProof/>
                        </w:rPr>
                        <w:drawing>
                          <wp:inline distT="0" distB="0" distL="0" distR="0" wp14:anchorId="09BE9925" wp14:editId="7005DBA2">
                            <wp:extent cx="3609975" cy="4076700"/>
                            <wp:effectExtent l="0" t="0" r="9525" b="1905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txbxContent>
                </v:textbox>
              </v:shape>
            </w:pict>
          </mc:Fallback>
        </mc:AlternateContent>
      </w:r>
      <w:r>
        <w:rPr>
          <w:noProof/>
        </w:rPr>
        <mc:AlternateContent>
          <mc:Choice Requires="wps">
            <w:drawing>
              <wp:anchor distT="0" distB="0" distL="114300" distR="114300" simplePos="0" relativeHeight="251718656" behindDoc="0" locked="0" layoutInCell="1" allowOverlap="1" wp14:anchorId="0E295B4A" wp14:editId="639FDE74">
                <wp:simplePos x="0" y="0"/>
                <wp:positionH relativeFrom="column">
                  <wp:posOffset>-352425</wp:posOffset>
                </wp:positionH>
                <wp:positionV relativeFrom="paragraph">
                  <wp:posOffset>3809365</wp:posOffset>
                </wp:positionV>
                <wp:extent cx="3705225" cy="421005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210050"/>
                        </a:xfrm>
                        <a:prstGeom prst="rect">
                          <a:avLst/>
                        </a:prstGeom>
                        <a:solidFill>
                          <a:srgbClr val="FFFFFF"/>
                        </a:solidFill>
                        <a:ln w="9525">
                          <a:solidFill>
                            <a:srgbClr val="000000"/>
                          </a:solidFill>
                          <a:miter lim="800000"/>
                          <a:headEnd/>
                          <a:tailEnd/>
                        </a:ln>
                      </wps:spPr>
                      <wps:txbx>
                        <w:txbxContent>
                          <w:p w:rsidR="006C485F" w:rsidRDefault="006C485F" w:rsidP="00D817B0">
                            <w:r>
                              <w:rPr>
                                <w:noProof/>
                              </w:rPr>
                              <w:drawing>
                                <wp:inline distT="0" distB="0" distL="0" distR="0" wp14:anchorId="6B04F62B" wp14:editId="0CD956BF">
                                  <wp:extent cx="3562350" cy="4162425"/>
                                  <wp:effectExtent l="0" t="0" r="0" b="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Pr>
                                <w:noProof/>
                              </w:rPr>
                              <w:drawing>
                                <wp:inline distT="0" distB="0" distL="0" distR="0" wp14:anchorId="0419B3A8" wp14:editId="690DD84B">
                                  <wp:extent cx="3609975" cy="4076700"/>
                                  <wp:effectExtent l="0" t="0" r="9525"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7.75pt;margin-top:299.95pt;width:291.75pt;height:33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">
                <v:textbox>
                  <w:txbxContent>
                    <w:p w:rsidR="006C485F" w:rsidRDefault="006C485F" w:rsidP="00D817B0">
                      <w:r>
                        <w:rPr>
                          <w:noProof/>
                        </w:rPr>
                        <w:drawing>
                          <wp:inline distT="0" distB="0" distL="0" distR="0" wp14:anchorId="6B04F62B" wp14:editId="0CD956BF">
                            <wp:extent cx="3562350" cy="4162425"/>
                            <wp:effectExtent l="0" t="0" r="0" b="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r>
                        <w:rPr>
                          <w:noProof/>
                        </w:rPr>
                        <w:drawing>
                          <wp:inline distT="0" distB="0" distL="0" distR="0" wp14:anchorId="0419B3A8" wp14:editId="690DD84B">
                            <wp:extent cx="3609975" cy="4076700"/>
                            <wp:effectExtent l="0" t="0" r="9525"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txbxContent>
                </v:textbox>
              </v:shape>
            </w:pict>
          </mc:Fallback>
        </mc:AlternateContent>
      </w:r>
      <w:r w:rsidR="0037075A">
        <w:rPr>
          <w:noProof/>
        </w:rPr>
        <mc:AlternateContent>
          <mc:Choice Requires="wps">
            <w:drawing>
              <wp:anchor distT="0" distB="0" distL="114300" distR="114300" simplePos="0" relativeHeight="251716608" behindDoc="0" locked="0" layoutInCell="1" allowOverlap="1" wp14:anchorId="0725E74E" wp14:editId="542742AC">
                <wp:simplePos x="0" y="0"/>
                <wp:positionH relativeFrom="column">
                  <wp:posOffset>76200</wp:posOffset>
                </wp:positionH>
                <wp:positionV relativeFrom="paragraph">
                  <wp:posOffset>3410585</wp:posOffset>
                </wp:positionV>
                <wp:extent cx="3009900" cy="2476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247650"/>
                        </a:xfrm>
                        <a:prstGeom prst="rect">
                          <a:avLst/>
                        </a:prstGeom>
                        <a:solidFill>
                          <a:srgbClr val="FFFFFF"/>
                        </a:solidFill>
                        <a:ln w="9525">
                          <a:solidFill>
                            <a:srgbClr val="000000"/>
                          </a:solidFill>
                          <a:miter lim="800000"/>
                          <a:headEnd/>
                          <a:tailEnd/>
                        </a:ln>
                      </wps:spPr>
                      <wps:txbx>
                        <w:txbxContent>
                          <w:p w:rsidR="006C485F" w:rsidRPr="002664EF" w:rsidRDefault="006C485F" w:rsidP="0037075A">
                            <w:pPr>
                              <w:rPr>
                                <w:b/>
                              </w:rPr>
                            </w:pPr>
                            <w:r w:rsidRPr="002664EF">
                              <w:rPr>
                                <w:b/>
                              </w:rPr>
                              <w:t>*Benchmarked normal internal u</w:t>
                            </w:r>
                            <w:r>
                              <w:rPr>
                                <w:b/>
                              </w:rPr>
                              <w:t>sage is 40/60</w:t>
                            </w:r>
                            <w:r w:rsidRPr="002664EF">
                              <w:rPr>
                                <w: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6pt;margin-top:268.55pt;width:237pt;height:1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">
                <v:textbox>
                  <w:txbxContent>
                    <w:p w:rsidR="006C485F" w:rsidRPr="002664EF" w:rsidRDefault="006C485F" w:rsidP="0037075A">
                      <w:pPr>
                        <w:rPr>
                          <w:b/>
                        </w:rPr>
                      </w:pPr>
                      <w:r w:rsidRPr="002664EF">
                        <w:rPr>
                          <w:b/>
                        </w:rPr>
                        <w:t>*Benchmarked normal internal u</w:t>
                      </w:r>
                      <w:r>
                        <w:rPr>
                          <w:b/>
                        </w:rPr>
                        <w:t>sage is 40/60</w:t>
                      </w:r>
                      <w:r w:rsidRPr="002664EF">
                        <w:rPr>
                          <w:b/>
                        </w:rPr>
                        <w:t>*</w:t>
                      </w:r>
                    </w:p>
                  </w:txbxContent>
                </v:textbox>
              </v:shape>
            </w:pict>
          </mc:Fallback>
        </mc:AlternateContent>
      </w:r>
      <w:r w:rsidR="0037075A">
        <w:rPr>
          <w:b/>
          <w:noProof/>
          <w:sz w:val="36"/>
          <w:szCs w:val="36"/>
          <w:u w:val="single"/>
        </w:rPr>
        <w:br w:type="page"/>
      </w:r>
    </w:p>
    <w:tbl>
      <w:tblPr>
        <w:tblW w:w="11790" w:type="dxa"/>
        <w:tblInd w:w="-342" w:type="dxa"/>
        <w:tblLayout w:type="fixed"/>
        <w:tblLook w:val="04A0" w:firstRow="1" w:lastRow="0" w:firstColumn="1" w:lastColumn="0" w:noHBand="0" w:noVBand="1"/>
      </w:tblPr>
      <w:tblGrid>
        <w:gridCol w:w="1080"/>
        <w:gridCol w:w="1080"/>
        <w:gridCol w:w="810"/>
        <w:gridCol w:w="7290"/>
        <w:gridCol w:w="1530"/>
      </w:tblGrid>
      <w:tr w:rsidR="00A2265C" w:rsidRPr="002E336F" w:rsidTr="00A2265C">
        <w:trPr>
          <w:trHeight w:val="315"/>
        </w:trPr>
        <w:tc>
          <w:tcPr>
            <w:tcW w:w="10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b/>
                <w:bCs/>
                <w:color w:val="000000"/>
              </w:rPr>
            </w:pPr>
            <w:r w:rsidRPr="002E336F">
              <w:rPr>
                <w:rFonts w:ascii="Calibri" w:eastAsia="Times New Roman" w:hAnsi="Calibri" w:cs="Times New Roman"/>
                <w:b/>
                <w:bCs/>
                <w:color w:val="000000"/>
              </w:rPr>
              <w:t>Client Name</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b/>
                <w:bCs/>
                <w:color w:val="000000"/>
              </w:rPr>
            </w:pPr>
            <w:r w:rsidRPr="002E336F">
              <w:rPr>
                <w:rFonts w:ascii="Calibri" w:eastAsia="Times New Roman" w:hAnsi="Calibri" w:cs="Times New Roman"/>
                <w:b/>
                <w:bCs/>
                <w:color w:val="000000"/>
              </w:rPr>
              <w:t>Contact Name</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b/>
                <w:bCs/>
                <w:color w:val="000000"/>
              </w:rPr>
            </w:pPr>
            <w:r w:rsidRPr="002E336F">
              <w:rPr>
                <w:rFonts w:ascii="Calibri" w:eastAsia="Times New Roman" w:hAnsi="Calibri" w:cs="Times New Roman"/>
                <w:b/>
                <w:bCs/>
                <w:color w:val="000000"/>
              </w:rPr>
              <w:t>Issue Date</w:t>
            </w:r>
          </w:p>
        </w:tc>
        <w:tc>
          <w:tcPr>
            <w:tcW w:w="7290" w:type="dxa"/>
            <w:tcBorders>
              <w:top w:val="single" w:sz="8" w:space="0" w:color="auto"/>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b/>
                <w:bCs/>
                <w:color w:val="000000"/>
              </w:rPr>
            </w:pPr>
            <w:r w:rsidRPr="002E336F">
              <w:rPr>
                <w:rFonts w:ascii="Calibri" w:eastAsia="Times New Roman" w:hAnsi="Calibri" w:cs="Times New Roman"/>
                <w:b/>
                <w:bCs/>
                <w:color w:val="000000"/>
              </w:rPr>
              <w:t>Issue</w:t>
            </w:r>
          </w:p>
        </w:tc>
        <w:tc>
          <w:tcPr>
            <w:tcW w:w="1530" w:type="dxa"/>
            <w:tcBorders>
              <w:top w:val="single" w:sz="8" w:space="0" w:color="auto"/>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b/>
                <w:bCs/>
                <w:color w:val="000000"/>
              </w:rPr>
            </w:pPr>
            <w:r w:rsidRPr="002E336F">
              <w:rPr>
                <w:rFonts w:ascii="Calibri" w:eastAsia="Times New Roman" w:hAnsi="Calibri" w:cs="Times New Roman"/>
                <w:b/>
                <w:bCs/>
                <w:color w:val="000000"/>
              </w:rPr>
              <w:t>Category</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27-Nov-13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Under Section 125, and a Flex Plan for premium and out of pocket pretax reimbursement, would the following  allow for an off anniversary change due to a family status change:1.Change in premiums for employee of family coverage under a dental and/or medical plan.2.A change in plan design.  Specifically, if we were to move from a self-funded dental plan that has a 7/1 to 7/1 deductible accumulation period, and change to a calendar deductible accumulation period – would this constitute a family status change, and allow for a change in the pre-tax contributions to the flex plan for out of pocket expenses.</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Employee Benefits</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4-Nov-13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I have a salaried employee who acts as our local community liaison - the face of our company to the community.  I recently learned she performs in a burlesque show showing everything but pasties.  She also has an online presence on FB and twitter with photos of her performing.  I'm worried about how this reflects on our company.  As far as I know, our CEO has no idea - but wants to know how to handle this situation.</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Employee Management</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3-Oct-13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 xml:space="preserve">As part of the new hire paperwork, can an employer request signed authorization to obtain a consumer credit report to be obtained at any time during employment?  </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Recruiting and Hiring</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5-Sep-13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My inquiry is with regards to the Notification of the Exchanges and distribution of the DOL's Exchange forms.  We have a client that offers a health plan to management only.  Would we therefore advise them to send the DOL form a health plan to those eligible for the health plan and send separately the DOL form stating no coverage is offered to those NOT eligible?  Also, since this must be presented to all employees, part-time or full-time, how do we distinguish which form to send to those who are not eligible?</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Compliance</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17-Jul-13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Would a Cancer plan on a group chassis through for example Allstate or Colonial have to be included in COBRA elections? My understanding is that they could choose to offer through COBRA but are not required to.- This policy is convertible, EE can convert to an individual product upon termination- There is no contribution by the employer to the premium- This client is a church plan, so they do not file 5500's</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Compliance</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14-May-13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We would like to set up a paid leave of absence policy based on years of service.  Employees could accrue1 week for each year worked up to 13 weeks.  The reasons for taking leave would mimic those of FMLA.  Therefore, this is designated FMLA also assuming the employee has met the requirements.  If the employee has paid vacation or sick time available already they would take that concurrently with the LOA and FMLA.  In the event that the employee's own disability is involved, the employer would subsidize that compensation to make it whole.  Does this sound feasible? Legal?</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Leaves of Absence</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8-May-13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We have an employer that needs to garnish wages and the employee has premium deducted from their paycheck for the group medical plan.  If the garnishments bring their take home pay close to $0, where can the medical premium fall in the deductions?  Can the employer take it out before garnishments?</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Compensation</w:t>
            </w:r>
          </w:p>
        </w:tc>
      </w:tr>
      <w:tr w:rsidR="00A2265C" w:rsidRPr="002E336F" w:rsidTr="00A2265C">
        <w:trPr>
          <w:trHeight w:val="31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25-Mar-13</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 xml:space="preserve">We are terminating an EE. Do we have a sample template we can use to communicate to the EE benefits will end and may elect continuation under state continuation? </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Terminations</w:t>
            </w:r>
          </w:p>
        </w:tc>
      </w:tr>
      <w:tr w:rsidR="00A2265C" w:rsidRPr="002E336F" w:rsidTr="00A2265C">
        <w:trPr>
          <w:trHeight w:val="149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w:t>
            </w:r>
          </w:p>
        </w:tc>
        <w:tc>
          <w:tcPr>
            <w:tcW w:w="108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Company Contact</w:t>
            </w:r>
          </w:p>
        </w:tc>
        <w:tc>
          <w:tcPr>
            <w:tcW w:w="81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jc w:val="right"/>
              <w:rPr>
                <w:rFonts w:ascii="Calibri" w:eastAsia="Times New Roman" w:hAnsi="Calibri" w:cs="Times New Roman"/>
                <w:color w:val="000000"/>
              </w:rPr>
            </w:pPr>
            <w:r w:rsidRPr="002E336F">
              <w:rPr>
                <w:rFonts w:ascii="Calibri" w:eastAsia="Times New Roman" w:hAnsi="Calibri" w:cs="Times New Roman"/>
                <w:color w:val="000000"/>
              </w:rPr>
              <w:t>27-Dec-12</w:t>
            </w:r>
          </w:p>
        </w:tc>
        <w:tc>
          <w:tcPr>
            <w:tcW w:w="729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I have a client interested in moving up their medical renewal from 4/1 to 3/1 because the renewal coincides with their fiscal year end.  My question is whether the 60 day rule notification regarding SBCs is impacted by such a decision.  The client wants to market the plan and if the results are favorable, there is a strong indication the client would move carriers.</w:t>
            </w:r>
          </w:p>
        </w:tc>
        <w:tc>
          <w:tcPr>
            <w:tcW w:w="1530" w:type="dxa"/>
            <w:tcBorders>
              <w:top w:val="nil"/>
              <w:left w:val="nil"/>
              <w:bottom w:val="single" w:sz="8" w:space="0" w:color="auto"/>
              <w:right w:val="single" w:sz="8" w:space="0" w:color="auto"/>
            </w:tcBorders>
            <w:shd w:val="clear" w:color="auto" w:fill="auto"/>
            <w:noWrap/>
            <w:vAlign w:val="center"/>
            <w:hideMark/>
          </w:tcPr>
          <w:p w:rsidR="002E336F" w:rsidRPr="002E336F" w:rsidRDefault="002E336F" w:rsidP="002E336F">
            <w:pPr>
              <w:spacing w:after="0" w:line="240" w:lineRule="auto"/>
              <w:rPr>
                <w:rFonts w:ascii="Calibri" w:eastAsia="Times New Roman" w:hAnsi="Calibri" w:cs="Times New Roman"/>
                <w:color w:val="000000"/>
              </w:rPr>
            </w:pPr>
            <w:r w:rsidRPr="002E336F">
              <w:rPr>
                <w:rFonts w:ascii="Calibri" w:eastAsia="Times New Roman" w:hAnsi="Calibri" w:cs="Times New Roman"/>
                <w:color w:val="000000"/>
              </w:rPr>
              <w:t>Employee Benefits</w:t>
            </w:r>
          </w:p>
        </w:tc>
      </w:tr>
    </w:tbl>
    <w:p w:rsidR="007D4729" w:rsidRPr="002664EF" w:rsidRDefault="007D4729" w:rsidP="00A2265C">
      <w:pPr>
        <w:rPr>
          <w:b/>
          <w:noProof/>
          <w:sz w:val="36"/>
          <w:szCs w:val="36"/>
          <w:u w:val="single"/>
        </w:rPr>
      </w:pPr>
    </w:p>
    <w:sectPr w:rsidR="007D4729" w:rsidRPr="002664EF" w:rsidSect="00A2265C">
      <w:pgSz w:w="12240" w:h="15840"/>
      <w:pgMar w:top="180" w:right="720" w:bottom="9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85F" w:rsidRDefault="006C485F" w:rsidP="00F551E1">
      <w:pPr>
        <w:spacing w:after="0" w:line="240" w:lineRule="auto"/>
      </w:pPr>
      <w:r>
        <w:separator/>
      </w:r>
    </w:p>
  </w:endnote>
  <w:endnote w:type="continuationSeparator" w:id="0">
    <w:p w:rsidR="006C485F" w:rsidRDefault="006C485F" w:rsidP="00F55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85F" w:rsidRDefault="006C485F" w:rsidP="00F551E1">
      <w:pPr>
        <w:spacing w:after="0" w:line="240" w:lineRule="auto"/>
      </w:pPr>
      <w:r>
        <w:separator/>
      </w:r>
    </w:p>
  </w:footnote>
  <w:footnote w:type="continuationSeparator" w:id="0">
    <w:p w:rsidR="006C485F" w:rsidRDefault="006C485F" w:rsidP="00F551E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A0157"/>
    <w:multiLevelType w:val="hybridMultilevel"/>
    <w:tmpl w:val="ECC4C30C"/>
    <w:lvl w:ilvl="0" w:tplc="1616BB0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60C2B75"/>
    <w:multiLevelType w:val="hybridMultilevel"/>
    <w:tmpl w:val="427AB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A6984"/>
    <w:multiLevelType w:val="hybridMultilevel"/>
    <w:tmpl w:val="51B4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C930BB"/>
    <w:multiLevelType w:val="hybridMultilevel"/>
    <w:tmpl w:val="6D468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19535D"/>
    <w:multiLevelType w:val="hybridMultilevel"/>
    <w:tmpl w:val="8422A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FB4814"/>
    <w:multiLevelType w:val="hybridMultilevel"/>
    <w:tmpl w:val="F34EA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6D17F3"/>
    <w:multiLevelType w:val="hybridMultilevel"/>
    <w:tmpl w:val="B838C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D30524"/>
    <w:multiLevelType w:val="hybridMultilevel"/>
    <w:tmpl w:val="2180A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F7878ED"/>
    <w:multiLevelType w:val="hybridMultilevel"/>
    <w:tmpl w:val="01C068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C0D1BE0"/>
    <w:multiLevelType w:val="hybridMultilevel"/>
    <w:tmpl w:val="3984C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FE64B46"/>
    <w:multiLevelType w:val="hybridMultilevel"/>
    <w:tmpl w:val="46A23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AE05E9"/>
    <w:multiLevelType w:val="hybridMultilevel"/>
    <w:tmpl w:val="EB640208"/>
    <w:lvl w:ilvl="0" w:tplc="1616BB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6"/>
  </w:num>
  <w:num w:numId="4">
    <w:abstractNumId w:val="10"/>
  </w:num>
  <w:num w:numId="5">
    <w:abstractNumId w:val="4"/>
  </w:num>
  <w:num w:numId="6">
    <w:abstractNumId w:val="1"/>
  </w:num>
  <w:num w:numId="7">
    <w:abstractNumId w:val="0"/>
  </w:num>
  <w:num w:numId="8">
    <w:abstractNumId w:val="5"/>
  </w:num>
  <w:num w:numId="9">
    <w:abstractNumId w:val="0"/>
  </w:num>
  <w:num w:numId="10">
    <w:abstractNumId w:val="11"/>
  </w:num>
  <w:num w:numId="11">
    <w:abstractNumId w:val="2"/>
  </w:num>
  <w:num w:numId="12">
    <w:abstractNumId w:val="9"/>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7CC"/>
    <w:rsid w:val="0000112B"/>
    <w:rsid w:val="000025D9"/>
    <w:rsid w:val="00005AB5"/>
    <w:rsid w:val="00027010"/>
    <w:rsid w:val="00027B19"/>
    <w:rsid w:val="00030DD2"/>
    <w:rsid w:val="00032845"/>
    <w:rsid w:val="00052255"/>
    <w:rsid w:val="000624B5"/>
    <w:rsid w:val="00080B08"/>
    <w:rsid w:val="000827D0"/>
    <w:rsid w:val="00087342"/>
    <w:rsid w:val="000946E4"/>
    <w:rsid w:val="000A1AEC"/>
    <w:rsid w:val="000A6286"/>
    <w:rsid w:val="000E21B5"/>
    <w:rsid w:val="000F522A"/>
    <w:rsid w:val="000F5604"/>
    <w:rsid w:val="00104705"/>
    <w:rsid w:val="00112BFE"/>
    <w:rsid w:val="00141BCC"/>
    <w:rsid w:val="00143A84"/>
    <w:rsid w:val="00143FA9"/>
    <w:rsid w:val="00166969"/>
    <w:rsid w:val="001671AC"/>
    <w:rsid w:val="00173D10"/>
    <w:rsid w:val="0018660E"/>
    <w:rsid w:val="00186C53"/>
    <w:rsid w:val="00197849"/>
    <w:rsid w:val="001A7883"/>
    <w:rsid w:val="001C0C3B"/>
    <w:rsid w:val="001E6AF7"/>
    <w:rsid w:val="001F7F44"/>
    <w:rsid w:val="00214F21"/>
    <w:rsid w:val="00231A57"/>
    <w:rsid w:val="00236162"/>
    <w:rsid w:val="00242867"/>
    <w:rsid w:val="002532A1"/>
    <w:rsid w:val="00256790"/>
    <w:rsid w:val="00256B4F"/>
    <w:rsid w:val="00257E7A"/>
    <w:rsid w:val="002664EF"/>
    <w:rsid w:val="00266EAA"/>
    <w:rsid w:val="00280FCE"/>
    <w:rsid w:val="002A0950"/>
    <w:rsid w:val="002C76E0"/>
    <w:rsid w:val="002D1D7D"/>
    <w:rsid w:val="002D42CE"/>
    <w:rsid w:val="002E02C4"/>
    <w:rsid w:val="002E20F7"/>
    <w:rsid w:val="002E336F"/>
    <w:rsid w:val="002F35DB"/>
    <w:rsid w:val="002F4B51"/>
    <w:rsid w:val="0033478F"/>
    <w:rsid w:val="003448EB"/>
    <w:rsid w:val="00352DD9"/>
    <w:rsid w:val="0036449F"/>
    <w:rsid w:val="0036610D"/>
    <w:rsid w:val="0037075A"/>
    <w:rsid w:val="003851B8"/>
    <w:rsid w:val="003B0B79"/>
    <w:rsid w:val="003B60E4"/>
    <w:rsid w:val="003D1457"/>
    <w:rsid w:val="003D474F"/>
    <w:rsid w:val="003E07B2"/>
    <w:rsid w:val="004149E9"/>
    <w:rsid w:val="00421E1E"/>
    <w:rsid w:val="0045026F"/>
    <w:rsid w:val="004514C0"/>
    <w:rsid w:val="00456358"/>
    <w:rsid w:val="00467B35"/>
    <w:rsid w:val="00480136"/>
    <w:rsid w:val="0049268C"/>
    <w:rsid w:val="004975B9"/>
    <w:rsid w:val="004B3807"/>
    <w:rsid w:val="004C28A4"/>
    <w:rsid w:val="004C43B8"/>
    <w:rsid w:val="004D795E"/>
    <w:rsid w:val="004E1A64"/>
    <w:rsid w:val="004E1AD5"/>
    <w:rsid w:val="004E3EAD"/>
    <w:rsid w:val="004E6B16"/>
    <w:rsid w:val="004F7844"/>
    <w:rsid w:val="00502753"/>
    <w:rsid w:val="00530DF8"/>
    <w:rsid w:val="00532472"/>
    <w:rsid w:val="00576E86"/>
    <w:rsid w:val="00596C6E"/>
    <w:rsid w:val="005976F2"/>
    <w:rsid w:val="005A014C"/>
    <w:rsid w:val="005B353C"/>
    <w:rsid w:val="005B425F"/>
    <w:rsid w:val="005C3762"/>
    <w:rsid w:val="005C6FFB"/>
    <w:rsid w:val="005C77D1"/>
    <w:rsid w:val="005D2F6C"/>
    <w:rsid w:val="005D5B00"/>
    <w:rsid w:val="005D6DF0"/>
    <w:rsid w:val="005F1551"/>
    <w:rsid w:val="005F66C8"/>
    <w:rsid w:val="005F7DF3"/>
    <w:rsid w:val="00604A8D"/>
    <w:rsid w:val="00622E61"/>
    <w:rsid w:val="00637BB9"/>
    <w:rsid w:val="006425B1"/>
    <w:rsid w:val="00650A2D"/>
    <w:rsid w:val="00654DD2"/>
    <w:rsid w:val="006644F7"/>
    <w:rsid w:val="0068612D"/>
    <w:rsid w:val="006A7A01"/>
    <w:rsid w:val="006B0769"/>
    <w:rsid w:val="006C4019"/>
    <w:rsid w:val="006C485F"/>
    <w:rsid w:val="006E08F3"/>
    <w:rsid w:val="006E5390"/>
    <w:rsid w:val="006E7F89"/>
    <w:rsid w:val="006F1931"/>
    <w:rsid w:val="006F758F"/>
    <w:rsid w:val="007172EB"/>
    <w:rsid w:val="00725C21"/>
    <w:rsid w:val="00734460"/>
    <w:rsid w:val="0073788F"/>
    <w:rsid w:val="0076068F"/>
    <w:rsid w:val="00764C6B"/>
    <w:rsid w:val="00765294"/>
    <w:rsid w:val="007675B4"/>
    <w:rsid w:val="007705B3"/>
    <w:rsid w:val="00770B9E"/>
    <w:rsid w:val="00782C73"/>
    <w:rsid w:val="007B53DD"/>
    <w:rsid w:val="007B659A"/>
    <w:rsid w:val="007D4729"/>
    <w:rsid w:val="007E3A3F"/>
    <w:rsid w:val="007F697C"/>
    <w:rsid w:val="007F6A12"/>
    <w:rsid w:val="008109FE"/>
    <w:rsid w:val="00814FAE"/>
    <w:rsid w:val="008222CC"/>
    <w:rsid w:val="00841273"/>
    <w:rsid w:val="0084267C"/>
    <w:rsid w:val="00843999"/>
    <w:rsid w:val="008509B7"/>
    <w:rsid w:val="00865F84"/>
    <w:rsid w:val="00870BC5"/>
    <w:rsid w:val="00880AE0"/>
    <w:rsid w:val="008C01A9"/>
    <w:rsid w:val="008C33B9"/>
    <w:rsid w:val="008C6EA3"/>
    <w:rsid w:val="008D0C0A"/>
    <w:rsid w:val="008E6475"/>
    <w:rsid w:val="008F738A"/>
    <w:rsid w:val="00901FFA"/>
    <w:rsid w:val="00917ACB"/>
    <w:rsid w:val="00917E5A"/>
    <w:rsid w:val="00947C57"/>
    <w:rsid w:val="00955F02"/>
    <w:rsid w:val="00957940"/>
    <w:rsid w:val="00964E17"/>
    <w:rsid w:val="00982A33"/>
    <w:rsid w:val="00985B6B"/>
    <w:rsid w:val="009A2075"/>
    <w:rsid w:val="009B3EA0"/>
    <w:rsid w:val="009B3EF6"/>
    <w:rsid w:val="009C3C45"/>
    <w:rsid w:val="009E25B0"/>
    <w:rsid w:val="009E3532"/>
    <w:rsid w:val="009E3A78"/>
    <w:rsid w:val="009F2E16"/>
    <w:rsid w:val="009F2E3F"/>
    <w:rsid w:val="009F635D"/>
    <w:rsid w:val="00A1172B"/>
    <w:rsid w:val="00A13434"/>
    <w:rsid w:val="00A2265C"/>
    <w:rsid w:val="00A35BAF"/>
    <w:rsid w:val="00A42C25"/>
    <w:rsid w:val="00A51BEE"/>
    <w:rsid w:val="00A60970"/>
    <w:rsid w:val="00A6500C"/>
    <w:rsid w:val="00A779C7"/>
    <w:rsid w:val="00A80270"/>
    <w:rsid w:val="00A83BC2"/>
    <w:rsid w:val="00A864A9"/>
    <w:rsid w:val="00A86B40"/>
    <w:rsid w:val="00A93AE6"/>
    <w:rsid w:val="00AB1E40"/>
    <w:rsid w:val="00AB21B9"/>
    <w:rsid w:val="00AC17C3"/>
    <w:rsid w:val="00AD0DEC"/>
    <w:rsid w:val="00AE32B4"/>
    <w:rsid w:val="00AF06F4"/>
    <w:rsid w:val="00AF284B"/>
    <w:rsid w:val="00AF3187"/>
    <w:rsid w:val="00AF4B38"/>
    <w:rsid w:val="00B05A0E"/>
    <w:rsid w:val="00B06702"/>
    <w:rsid w:val="00B075FD"/>
    <w:rsid w:val="00B102CF"/>
    <w:rsid w:val="00B110FA"/>
    <w:rsid w:val="00B160CE"/>
    <w:rsid w:val="00B254AC"/>
    <w:rsid w:val="00B35FBC"/>
    <w:rsid w:val="00B41988"/>
    <w:rsid w:val="00B4233E"/>
    <w:rsid w:val="00B44E95"/>
    <w:rsid w:val="00B4563A"/>
    <w:rsid w:val="00B46200"/>
    <w:rsid w:val="00B549DD"/>
    <w:rsid w:val="00B7148B"/>
    <w:rsid w:val="00BA1549"/>
    <w:rsid w:val="00BA609C"/>
    <w:rsid w:val="00BB6123"/>
    <w:rsid w:val="00BC0028"/>
    <w:rsid w:val="00BC24F8"/>
    <w:rsid w:val="00BF7AA7"/>
    <w:rsid w:val="00C04C5E"/>
    <w:rsid w:val="00C11C42"/>
    <w:rsid w:val="00C156BA"/>
    <w:rsid w:val="00C15A3A"/>
    <w:rsid w:val="00C21722"/>
    <w:rsid w:val="00C22C59"/>
    <w:rsid w:val="00C311CD"/>
    <w:rsid w:val="00C37156"/>
    <w:rsid w:val="00C544EC"/>
    <w:rsid w:val="00C5526E"/>
    <w:rsid w:val="00C57772"/>
    <w:rsid w:val="00C64589"/>
    <w:rsid w:val="00C7542C"/>
    <w:rsid w:val="00C96335"/>
    <w:rsid w:val="00CB1553"/>
    <w:rsid w:val="00CB2D58"/>
    <w:rsid w:val="00CC770C"/>
    <w:rsid w:val="00CD1F46"/>
    <w:rsid w:val="00CD415A"/>
    <w:rsid w:val="00CE4931"/>
    <w:rsid w:val="00CF37BA"/>
    <w:rsid w:val="00D029AC"/>
    <w:rsid w:val="00D04161"/>
    <w:rsid w:val="00D117CC"/>
    <w:rsid w:val="00D215FB"/>
    <w:rsid w:val="00D44578"/>
    <w:rsid w:val="00D64C9B"/>
    <w:rsid w:val="00D71118"/>
    <w:rsid w:val="00D73201"/>
    <w:rsid w:val="00D80678"/>
    <w:rsid w:val="00D80697"/>
    <w:rsid w:val="00D817B0"/>
    <w:rsid w:val="00DA12BF"/>
    <w:rsid w:val="00DA17D6"/>
    <w:rsid w:val="00DA6BDF"/>
    <w:rsid w:val="00DB4C32"/>
    <w:rsid w:val="00DC07E9"/>
    <w:rsid w:val="00DC25DD"/>
    <w:rsid w:val="00DF6DA2"/>
    <w:rsid w:val="00E031DF"/>
    <w:rsid w:val="00E33D7C"/>
    <w:rsid w:val="00E43EE8"/>
    <w:rsid w:val="00E550DB"/>
    <w:rsid w:val="00E55819"/>
    <w:rsid w:val="00E6231E"/>
    <w:rsid w:val="00E64E65"/>
    <w:rsid w:val="00E72DB9"/>
    <w:rsid w:val="00E82EAC"/>
    <w:rsid w:val="00E83796"/>
    <w:rsid w:val="00E900C6"/>
    <w:rsid w:val="00EB60BD"/>
    <w:rsid w:val="00EC6CAC"/>
    <w:rsid w:val="00ED0D01"/>
    <w:rsid w:val="00ED69EC"/>
    <w:rsid w:val="00EE2997"/>
    <w:rsid w:val="00EF0547"/>
    <w:rsid w:val="00EF3AB2"/>
    <w:rsid w:val="00F25114"/>
    <w:rsid w:val="00F40E3A"/>
    <w:rsid w:val="00F41A53"/>
    <w:rsid w:val="00F42540"/>
    <w:rsid w:val="00F551E1"/>
    <w:rsid w:val="00F67B77"/>
    <w:rsid w:val="00F87EE0"/>
    <w:rsid w:val="00FB0BFA"/>
    <w:rsid w:val="00FC35B7"/>
    <w:rsid w:val="00FF4316"/>
    <w:rsid w:val="00FF6160"/>
    <w:rsid w:val="00FF6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17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7CC"/>
    <w:rPr>
      <w:rFonts w:ascii="Tahoma" w:hAnsi="Tahoma" w:cs="Tahoma"/>
      <w:sz w:val="16"/>
      <w:szCs w:val="16"/>
    </w:rPr>
  </w:style>
  <w:style w:type="character" w:styleId="Hyperlink">
    <w:name w:val="Hyperlink"/>
    <w:basedOn w:val="DefaultParagraphFont"/>
    <w:uiPriority w:val="99"/>
    <w:unhideWhenUsed/>
    <w:rsid w:val="00FB0BFA"/>
    <w:rPr>
      <w:color w:val="0000FF" w:themeColor="hyperlink"/>
      <w:u w:val="single"/>
    </w:rPr>
  </w:style>
  <w:style w:type="table" w:styleId="TableGrid">
    <w:name w:val="Table Grid"/>
    <w:basedOn w:val="TableNormal"/>
    <w:uiPriority w:val="59"/>
    <w:rsid w:val="00FB0B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44E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44E95"/>
    <w:rPr>
      <w:b/>
      <w:bCs/>
    </w:rPr>
  </w:style>
  <w:style w:type="paragraph" w:styleId="ListParagraph">
    <w:name w:val="List Paragraph"/>
    <w:basedOn w:val="Normal"/>
    <w:uiPriority w:val="34"/>
    <w:qFormat/>
    <w:rsid w:val="00E64E65"/>
    <w:pPr>
      <w:ind w:left="720"/>
      <w:contextualSpacing/>
    </w:pPr>
  </w:style>
  <w:style w:type="paragraph" w:styleId="Header">
    <w:name w:val="header"/>
    <w:basedOn w:val="Normal"/>
    <w:link w:val="HeaderChar"/>
    <w:uiPriority w:val="99"/>
    <w:unhideWhenUsed/>
    <w:rsid w:val="00F551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1E1"/>
  </w:style>
  <w:style w:type="paragraph" w:styleId="Footer">
    <w:name w:val="footer"/>
    <w:basedOn w:val="Normal"/>
    <w:link w:val="FooterChar"/>
    <w:uiPriority w:val="99"/>
    <w:unhideWhenUsed/>
    <w:rsid w:val="00F551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1E1"/>
  </w:style>
  <w:style w:type="character" w:styleId="FollowedHyperlink">
    <w:name w:val="FollowedHyperlink"/>
    <w:basedOn w:val="DefaultParagraphFont"/>
    <w:uiPriority w:val="99"/>
    <w:semiHidden/>
    <w:unhideWhenUsed/>
    <w:rsid w:val="0037075A"/>
    <w:rPr>
      <w:color w:val="800080"/>
      <w:u w:val="single"/>
    </w:rPr>
  </w:style>
  <w:style w:type="paragraph" w:customStyle="1" w:styleId="xl65">
    <w:name w:val="xl65"/>
    <w:basedOn w:val="Normal"/>
    <w:rsid w:val="0037075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6">
    <w:name w:val="xl66"/>
    <w:basedOn w:val="Normal"/>
    <w:rsid w:val="0037075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7">
    <w:name w:val="xl67"/>
    <w:basedOn w:val="Normal"/>
    <w:rsid w:val="0037075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8">
    <w:name w:val="xl68"/>
    <w:basedOn w:val="Normal"/>
    <w:rsid w:val="0037075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69">
    <w:name w:val="xl69"/>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0">
    <w:name w:val="xl70"/>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1">
    <w:name w:val="xl71"/>
    <w:basedOn w:val="Normal"/>
    <w:rsid w:val="0037075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72">
    <w:name w:val="xl72"/>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3">
    <w:name w:val="xl73"/>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17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7CC"/>
    <w:rPr>
      <w:rFonts w:ascii="Tahoma" w:hAnsi="Tahoma" w:cs="Tahoma"/>
      <w:sz w:val="16"/>
      <w:szCs w:val="16"/>
    </w:rPr>
  </w:style>
  <w:style w:type="character" w:styleId="Hyperlink">
    <w:name w:val="Hyperlink"/>
    <w:basedOn w:val="DefaultParagraphFont"/>
    <w:uiPriority w:val="99"/>
    <w:unhideWhenUsed/>
    <w:rsid w:val="00FB0BFA"/>
    <w:rPr>
      <w:color w:val="0000FF" w:themeColor="hyperlink"/>
      <w:u w:val="single"/>
    </w:rPr>
  </w:style>
  <w:style w:type="table" w:styleId="TableGrid">
    <w:name w:val="Table Grid"/>
    <w:basedOn w:val="TableNormal"/>
    <w:uiPriority w:val="59"/>
    <w:rsid w:val="00FB0B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44E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44E95"/>
    <w:rPr>
      <w:b/>
      <w:bCs/>
    </w:rPr>
  </w:style>
  <w:style w:type="paragraph" w:styleId="ListParagraph">
    <w:name w:val="List Paragraph"/>
    <w:basedOn w:val="Normal"/>
    <w:uiPriority w:val="34"/>
    <w:qFormat/>
    <w:rsid w:val="00E64E65"/>
    <w:pPr>
      <w:ind w:left="720"/>
      <w:contextualSpacing/>
    </w:pPr>
  </w:style>
  <w:style w:type="paragraph" w:styleId="Header">
    <w:name w:val="header"/>
    <w:basedOn w:val="Normal"/>
    <w:link w:val="HeaderChar"/>
    <w:uiPriority w:val="99"/>
    <w:unhideWhenUsed/>
    <w:rsid w:val="00F551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1E1"/>
  </w:style>
  <w:style w:type="paragraph" w:styleId="Footer">
    <w:name w:val="footer"/>
    <w:basedOn w:val="Normal"/>
    <w:link w:val="FooterChar"/>
    <w:uiPriority w:val="99"/>
    <w:unhideWhenUsed/>
    <w:rsid w:val="00F551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1E1"/>
  </w:style>
  <w:style w:type="character" w:styleId="FollowedHyperlink">
    <w:name w:val="FollowedHyperlink"/>
    <w:basedOn w:val="DefaultParagraphFont"/>
    <w:uiPriority w:val="99"/>
    <w:semiHidden/>
    <w:unhideWhenUsed/>
    <w:rsid w:val="0037075A"/>
    <w:rPr>
      <w:color w:val="800080"/>
      <w:u w:val="single"/>
    </w:rPr>
  </w:style>
  <w:style w:type="paragraph" w:customStyle="1" w:styleId="xl65">
    <w:name w:val="xl65"/>
    <w:basedOn w:val="Normal"/>
    <w:rsid w:val="0037075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6">
    <w:name w:val="xl66"/>
    <w:basedOn w:val="Normal"/>
    <w:rsid w:val="0037075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7">
    <w:name w:val="xl67"/>
    <w:basedOn w:val="Normal"/>
    <w:rsid w:val="0037075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8">
    <w:name w:val="xl68"/>
    <w:basedOn w:val="Normal"/>
    <w:rsid w:val="0037075A"/>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69">
    <w:name w:val="xl69"/>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0">
    <w:name w:val="xl70"/>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1">
    <w:name w:val="xl71"/>
    <w:basedOn w:val="Normal"/>
    <w:rsid w:val="0037075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72">
    <w:name w:val="xl72"/>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3">
    <w:name w:val="xl73"/>
    <w:basedOn w:val="Normal"/>
    <w:rsid w:val="0037075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97995">
      <w:bodyDiv w:val="1"/>
      <w:marLeft w:val="0"/>
      <w:marRight w:val="0"/>
      <w:marTop w:val="0"/>
      <w:marBottom w:val="0"/>
      <w:divBdr>
        <w:top w:val="none" w:sz="0" w:space="0" w:color="auto"/>
        <w:left w:val="none" w:sz="0" w:space="0" w:color="auto"/>
        <w:bottom w:val="none" w:sz="0" w:space="0" w:color="auto"/>
        <w:right w:val="none" w:sz="0" w:space="0" w:color="auto"/>
      </w:divBdr>
    </w:div>
    <w:div w:id="264920795">
      <w:bodyDiv w:val="1"/>
      <w:marLeft w:val="0"/>
      <w:marRight w:val="0"/>
      <w:marTop w:val="0"/>
      <w:marBottom w:val="0"/>
      <w:divBdr>
        <w:top w:val="none" w:sz="0" w:space="0" w:color="auto"/>
        <w:left w:val="none" w:sz="0" w:space="0" w:color="auto"/>
        <w:bottom w:val="none" w:sz="0" w:space="0" w:color="auto"/>
        <w:right w:val="none" w:sz="0" w:space="0" w:color="auto"/>
      </w:divBdr>
    </w:div>
    <w:div w:id="270742010">
      <w:bodyDiv w:val="1"/>
      <w:marLeft w:val="0"/>
      <w:marRight w:val="0"/>
      <w:marTop w:val="0"/>
      <w:marBottom w:val="0"/>
      <w:divBdr>
        <w:top w:val="none" w:sz="0" w:space="0" w:color="auto"/>
        <w:left w:val="none" w:sz="0" w:space="0" w:color="auto"/>
        <w:bottom w:val="none" w:sz="0" w:space="0" w:color="auto"/>
        <w:right w:val="none" w:sz="0" w:space="0" w:color="auto"/>
      </w:divBdr>
    </w:div>
    <w:div w:id="277222824">
      <w:bodyDiv w:val="1"/>
      <w:marLeft w:val="0"/>
      <w:marRight w:val="0"/>
      <w:marTop w:val="0"/>
      <w:marBottom w:val="0"/>
      <w:divBdr>
        <w:top w:val="none" w:sz="0" w:space="0" w:color="auto"/>
        <w:left w:val="none" w:sz="0" w:space="0" w:color="auto"/>
        <w:bottom w:val="none" w:sz="0" w:space="0" w:color="auto"/>
        <w:right w:val="none" w:sz="0" w:space="0" w:color="auto"/>
      </w:divBdr>
    </w:div>
    <w:div w:id="293800412">
      <w:bodyDiv w:val="1"/>
      <w:marLeft w:val="0"/>
      <w:marRight w:val="0"/>
      <w:marTop w:val="0"/>
      <w:marBottom w:val="0"/>
      <w:divBdr>
        <w:top w:val="none" w:sz="0" w:space="0" w:color="auto"/>
        <w:left w:val="none" w:sz="0" w:space="0" w:color="auto"/>
        <w:bottom w:val="none" w:sz="0" w:space="0" w:color="auto"/>
        <w:right w:val="none" w:sz="0" w:space="0" w:color="auto"/>
      </w:divBdr>
    </w:div>
    <w:div w:id="371195906">
      <w:bodyDiv w:val="1"/>
      <w:marLeft w:val="0"/>
      <w:marRight w:val="0"/>
      <w:marTop w:val="0"/>
      <w:marBottom w:val="0"/>
      <w:divBdr>
        <w:top w:val="none" w:sz="0" w:space="0" w:color="auto"/>
        <w:left w:val="none" w:sz="0" w:space="0" w:color="auto"/>
        <w:bottom w:val="none" w:sz="0" w:space="0" w:color="auto"/>
        <w:right w:val="none" w:sz="0" w:space="0" w:color="auto"/>
      </w:divBdr>
    </w:div>
    <w:div w:id="380448715">
      <w:bodyDiv w:val="1"/>
      <w:marLeft w:val="0"/>
      <w:marRight w:val="0"/>
      <w:marTop w:val="0"/>
      <w:marBottom w:val="0"/>
      <w:divBdr>
        <w:top w:val="none" w:sz="0" w:space="0" w:color="auto"/>
        <w:left w:val="none" w:sz="0" w:space="0" w:color="auto"/>
        <w:bottom w:val="none" w:sz="0" w:space="0" w:color="auto"/>
        <w:right w:val="none" w:sz="0" w:space="0" w:color="auto"/>
      </w:divBdr>
    </w:div>
    <w:div w:id="565143558">
      <w:bodyDiv w:val="1"/>
      <w:marLeft w:val="0"/>
      <w:marRight w:val="0"/>
      <w:marTop w:val="0"/>
      <w:marBottom w:val="0"/>
      <w:divBdr>
        <w:top w:val="none" w:sz="0" w:space="0" w:color="auto"/>
        <w:left w:val="none" w:sz="0" w:space="0" w:color="auto"/>
        <w:bottom w:val="none" w:sz="0" w:space="0" w:color="auto"/>
        <w:right w:val="none" w:sz="0" w:space="0" w:color="auto"/>
      </w:divBdr>
    </w:div>
    <w:div w:id="679241784">
      <w:bodyDiv w:val="1"/>
      <w:marLeft w:val="0"/>
      <w:marRight w:val="0"/>
      <w:marTop w:val="0"/>
      <w:marBottom w:val="0"/>
      <w:divBdr>
        <w:top w:val="none" w:sz="0" w:space="0" w:color="auto"/>
        <w:left w:val="none" w:sz="0" w:space="0" w:color="auto"/>
        <w:bottom w:val="none" w:sz="0" w:space="0" w:color="auto"/>
        <w:right w:val="none" w:sz="0" w:space="0" w:color="auto"/>
      </w:divBdr>
    </w:div>
    <w:div w:id="697702087">
      <w:bodyDiv w:val="1"/>
      <w:marLeft w:val="0"/>
      <w:marRight w:val="0"/>
      <w:marTop w:val="0"/>
      <w:marBottom w:val="0"/>
      <w:divBdr>
        <w:top w:val="none" w:sz="0" w:space="0" w:color="auto"/>
        <w:left w:val="none" w:sz="0" w:space="0" w:color="auto"/>
        <w:bottom w:val="none" w:sz="0" w:space="0" w:color="auto"/>
        <w:right w:val="none" w:sz="0" w:space="0" w:color="auto"/>
      </w:divBdr>
    </w:div>
    <w:div w:id="782071358">
      <w:bodyDiv w:val="1"/>
      <w:marLeft w:val="0"/>
      <w:marRight w:val="0"/>
      <w:marTop w:val="0"/>
      <w:marBottom w:val="0"/>
      <w:divBdr>
        <w:top w:val="none" w:sz="0" w:space="0" w:color="auto"/>
        <w:left w:val="none" w:sz="0" w:space="0" w:color="auto"/>
        <w:bottom w:val="none" w:sz="0" w:space="0" w:color="auto"/>
        <w:right w:val="none" w:sz="0" w:space="0" w:color="auto"/>
      </w:divBdr>
    </w:div>
    <w:div w:id="819267618">
      <w:bodyDiv w:val="1"/>
      <w:marLeft w:val="0"/>
      <w:marRight w:val="0"/>
      <w:marTop w:val="0"/>
      <w:marBottom w:val="0"/>
      <w:divBdr>
        <w:top w:val="none" w:sz="0" w:space="0" w:color="auto"/>
        <w:left w:val="none" w:sz="0" w:space="0" w:color="auto"/>
        <w:bottom w:val="none" w:sz="0" w:space="0" w:color="auto"/>
        <w:right w:val="none" w:sz="0" w:space="0" w:color="auto"/>
      </w:divBdr>
    </w:div>
    <w:div w:id="911112622">
      <w:bodyDiv w:val="1"/>
      <w:marLeft w:val="0"/>
      <w:marRight w:val="0"/>
      <w:marTop w:val="0"/>
      <w:marBottom w:val="0"/>
      <w:divBdr>
        <w:top w:val="none" w:sz="0" w:space="0" w:color="auto"/>
        <w:left w:val="none" w:sz="0" w:space="0" w:color="auto"/>
        <w:bottom w:val="none" w:sz="0" w:space="0" w:color="auto"/>
        <w:right w:val="none" w:sz="0" w:space="0" w:color="auto"/>
      </w:divBdr>
    </w:div>
    <w:div w:id="918099382">
      <w:bodyDiv w:val="1"/>
      <w:marLeft w:val="0"/>
      <w:marRight w:val="0"/>
      <w:marTop w:val="0"/>
      <w:marBottom w:val="0"/>
      <w:divBdr>
        <w:top w:val="none" w:sz="0" w:space="0" w:color="auto"/>
        <w:left w:val="none" w:sz="0" w:space="0" w:color="auto"/>
        <w:bottom w:val="none" w:sz="0" w:space="0" w:color="auto"/>
        <w:right w:val="none" w:sz="0" w:space="0" w:color="auto"/>
      </w:divBdr>
    </w:div>
    <w:div w:id="948513877">
      <w:bodyDiv w:val="1"/>
      <w:marLeft w:val="0"/>
      <w:marRight w:val="0"/>
      <w:marTop w:val="0"/>
      <w:marBottom w:val="0"/>
      <w:divBdr>
        <w:top w:val="none" w:sz="0" w:space="0" w:color="auto"/>
        <w:left w:val="none" w:sz="0" w:space="0" w:color="auto"/>
        <w:bottom w:val="none" w:sz="0" w:space="0" w:color="auto"/>
        <w:right w:val="none" w:sz="0" w:space="0" w:color="auto"/>
      </w:divBdr>
    </w:div>
    <w:div w:id="960572666">
      <w:bodyDiv w:val="1"/>
      <w:marLeft w:val="0"/>
      <w:marRight w:val="0"/>
      <w:marTop w:val="0"/>
      <w:marBottom w:val="0"/>
      <w:divBdr>
        <w:top w:val="none" w:sz="0" w:space="0" w:color="auto"/>
        <w:left w:val="none" w:sz="0" w:space="0" w:color="auto"/>
        <w:bottom w:val="none" w:sz="0" w:space="0" w:color="auto"/>
        <w:right w:val="none" w:sz="0" w:space="0" w:color="auto"/>
      </w:divBdr>
    </w:div>
    <w:div w:id="977952493">
      <w:bodyDiv w:val="1"/>
      <w:marLeft w:val="0"/>
      <w:marRight w:val="0"/>
      <w:marTop w:val="0"/>
      <w:marBottom w:val="0"/>
      <w:divBdr>
        <w:top w:val="none" w:sz="0" w:space="0" w:color="auto"/>
        <w:left w:val="none" w:sz="0" w:space="0" w:color="auto"/>
        <w:bottom w:val="none" w:sz="0" w:space="0" w:color="auto"/>
        <w:right w:val="none" w:sz="0" w:space="0" w:color="auto"/>
      </w:divBdr>
    </w:div>
    <w:div w:id="1021516037">
      <w:bodyDiv w:val="1"/>
      <w:marLeft w:val="0"/>
      <w:marRight w:val="0"/>
      <w:marTop w:val="0"/>
      <w:marBottom w:val="0"/>
      <w:divBdr>
        <w:top w:val="none" w:sz="0" w:space="0" w:color="auto"/>
        <w:left w:val="none" w:sz="0" w:space="0" w:color="auto"/>
        <w:bottom w:val="none" w:sz="0" w:space="0" w:color="auto"/>
        <w:right w:val="none" w:sz="0" w:space="0" w:color="auto"/>
      </w:divBdr>
    </w:div>
    <w:div w:id="1035236101">
      <w:bodyDiv w:val="1"/>
      <w:marLeft w:val="0"/>
      <w:marRight w:val="0"/>
      <w:marTop w:val="0"/>
      <w:marBottom w:val="0"/>
      <w:divBdr>
        <w:top w:val="none" w:sz="0" w:space="0" w:color="auto"/>
        <w:left w:val="none" w:sz="0" w:space="0" w:color="auto"/>
        <w:bottom w:val="none" w:sz="0" w:space="0" w:color="auto"/>
        <w:right w:val="none" w:sz="0" w:space="0" w:color="auto"/>
      </w:divBdr>
    </w:div>
    <w:div w:id="1170290346">
      <w:bodyDiv w:val="1"/>
      <w:marLeft w:val="0"/>
      <w:marRight w:val="0"/>
      <w:marTop w:val="0"/>
      <w:marBottom w:val="0"/>
      <w:divBdr>
        <w:top w:val="none" w:sz="0" w:space="0" w:color="auto"/>
        <w:left w:val="none" w:sz="0" w:space="0" w:color="auto"/>
        <w:bottom w:val="none" w:sz="0" w:space="0" w:color="auto"/>
        <w:right w:val="none" w:sz="0" w:space="0" w:color="auto"/>
      </w:divBdr>
    </w:div>
    <w:div w:id="1188375560">
      <w:bodyDiv w:val="1"/>
      <w:marLeft w:val="0"/>
      <w:marRight w:val="0"/>
      <w:marTop w:val="0"/>
      <w:marBottom w:val="0"/>
      <w:divBdr>
        <w:top w:val="none" w:sz="0" w:space="0" w:color="auto"/>
        <w:left w:val="none" w:sz="0" w:space="0" w:color="auto"/>
        <w:bottom w:val="none" w:sz="0" w:space="0" w:color="auto"/>
        <w:right w:val="none" w:sz="0" w:space="0" w:color="auto"/>
      </w:divBdr>
    </w:div>
    <w:div w:id="1282222838">
      <w:bodyDiv w:val="1"/>
      <w:marLeft w:val="0"/>
      <w:marRight w:val="0"/>
      <w:marTop w:val="0"/>
      <w:marBottom w:val="0"/>
      <w:divBdr>
        <w:top w:val="none" w:sz="0" w:space="0" w:color="auto"/>
        <w:left w:val="none" w:sz="0" w:space="0" w:color="auto"/>
        <w:bottom w:val="none" w:sz="0" w:space="0" w:color="auto"/>
        <w:right w:val="none" w:sz="0" w:space="0" w:color="auto"/>
      </w:divBdr>
    </w:div>
    <w:div w:id="1313483864">
      <w:bodyDiv w:val="1"/>
      <w:marLeft w:val="0"/>
      <w:marRight w:val="0"/>
      <w:marTop w:val="0"/>
      <w:marBottom w:val="0"/>
      <w:divBdr>
        <w:top w:val="none" w:sz="0" w:space="0" w:color="auto"/>
        <w:left w:val="none" w:sz="0" w:space="0" w:color="auto"/>
        <w:bottom w:val="none" w:sz="0" w:space="0" w:color="auto"/>
        <w:right w:val="none" w:sz="0" w:space="0" w:color="auto"/>
      </w:divBdr>
    </w:div>
    <w:div w:id="1429306286">
      <w:bodyDiv w:val="1"/>
      <w:marLeft w:val="0"/>
      <w:marRight w:val="0"/>
      <w:marTop w:val="0"/>
      <w:marBottom w:val="0"/>
      <w:divBdr>
        <w:top w:val="none" w:sz="0" w:space="0" w:color="auto"/>
        <w:left w:val="none" w:sz="0" w:space="0" w:color="auto"/>
        <w:bottom w:val="none" w:sz="0" w:space="0" w:color="auto"/>
        <w:right w:val="none" w:sz="0" w:space="0" w:color="auto"/>
      </w:divBdr>
    </w:div>
    <w:div w:id="1430420869">
      <w:bodyDiv w:val="1"/>
      <w:marLeft w:val="0"/>
      <w:marRight w:val="0"/>
      <w:marTop w:val="0"/>
      <w:marBottom w:val="0"/>
      <w:divBdr>
        <w:top w:val="none" w:sz="0" w:space="0" w:color="auto"/>
        <w:left w:val="none" w:sz="0" w:space="0" w:color="auto"/>
        <w:bottom w:val="none" w:sz="0" w:space="0" w:color="auto"/>
        <w:right w:val="none" w:sz="0" w:space="0" w:color="auto"/>
      </w:divBdr>
    </w:div>
    <w:div w:id="1517814644">
      <w:bodyDiv w:val="1"/>
      <w:marLeft w:val="0"/>
      <w:marRight w:val="0"/>
      <w:marTop w:val="0"/>
      <w:marBottom w:val="0"/>
      <w:divBdr>
        <w:top w:val="none" w:sz="0" w:space="0" w:color="auto"/>
        <w:left w:val="none" w:sz="0" w:space="0" w:color="auto"/>
        <w:bottom w:val="none" w:sz="0" w:space="0" w:color="auto"/>
        <w:right w:val="none" w:sz="0" w:space="0" w:color="auto"/>
      </w:divBdr>
    </w:div>
    <w:div w:id="1524324983">
      <w:bodyDiv w:val="1"/>
      <w:marLeft w:val="0"/>
      <w:marRight w:val="0"/>
      <w:marTop w:val="0"/>
      <w:marBottom w:val="0"/>
      <w:divBdr>
        <w:top w:val="none" w:sz="0" w:space="0" w:color="auto"/>
        <w:left w:val="none" w:sz="0" w:space="0" w:color="auto"/>
        <w:bottom w:val="none" w:sz="0" w:space="0" w:color="auto"/>
        <w:right w:val="none" w:sz="0" w:space="0" w:color="auto"/>
      </w:divBdr>
    </w:div>
    <w:div w:id="1571304975">
      <w:bodyDiv w:val="1"/>
      <w:marLeft w:val="0"/>
      <w:marRight w:val="0"/>
      <w:marTop w:val="0"/>
      <w:marBottom w:val="0"/>
      <w:divBdr>
        <w:top w:val="none" w:sz="0" w:space="0" w:color="auto"/>
        <w:left w:val="none" w:sz="0" w:space="0" w:color="auto"/>
        <w:bottom w:val="none" w:sz="0" w:space="0" w:color="auto"/>
        <w:right w:val="none" w:sz="0" w:space="0" w:color="auto"/>
      </w:divBdr>
    </w:div>
    <w:div w:id="1576403919">
      <w:bodyDiv w:val="1"/>
      <w:marLeft w:val="0"/>
      <w:marRight w:val="0"/>
      <w:marTop w:val="0"/>
      <w:marBottom w:val="0"/>
      <w:divBdr>
        <w:top w:val="none" w:sz="0" w:space="0" w:color="auto"/>
        <w:left w:val="none" w:sz="0" w:space="0" w:color="auto"/>
        <w:bottom w:val="none" w:sz="0" w:space="0" w:color="auto"/>
        <w:right w:val="none" w:sz="0" w:space="0" w:color="auto"/>
      </w:divBdr>
    </w:div>
    <w:div w:id="1664620470">
      <w:bodyDiv w:val="1"/>
      <w:marLeft w:val="0"/>
      <w:marRight w:val="0"/>
      <w:marTop w:val="0"/>
      <w:marBottom w:val="0"/>
      <w:divBdr>
        <w:top w:val="none" w:sz="0" w:space="0" w:color="auto"/>
        <w:left w:val="none" w:sz="0" w:space="0" w:color="auto"/>
        <w:bottom w:val="none" w:sz="0" w:space="0" w:color="auto"/>
        <w:right w:val="none" w:sz="0" w:space="0" w:color="auto"/>
      </w:divBdr>
    </w:div>
    <w:div w:id="1701321914">
      <w:bodyDiv w:val="1"/>
      <w:marLeft w:val="0"/>
      <w:marRight w:val="0"/>
      <w:marTop w:val="0"/>
      <w:marBottom w:val="0"/>
      <w:divBdr>
        <w:top w:val="none" w:sz="0" w:space="0" w:color="auto"/>
        <w:left w:val="none" w:sz="0" w:space="0" w:color="auto"/>
        <w:bottom w:val="none" w:sz="0" w:space="0" w:color="auto"/>
        <w:right w:val="none" w:sz="0" w:space="0" w:color="auto"/>
      </w:divBdr>
    </w:div>
    <w:div w:id="1716004889">
      <w:bodyDiv w:val="1"/>
      <w:marLeft w:val="0"/>
      <w:marRight w:val="0"/>
      <w:marTop w:val="0"/>
      <w:marBottom w:val="0"/>
      <w:divBdr>
        <w:top w:val="none" w:sz="0" w:space="0" w:color="auto"/>
        <w:left w:val="none" w:sz="0" w:space="0" w:color="auto"/>
        <w:bottom w:val="none" w:sz="0" w:space="0" w:color="auto"/>
        <w:right w:val="none" w:sz="0" w:space="0" w:color="auto"/>
      </w:divBdr>
    </w:div>
    <w:div w:id="1759208147">
      <w:bodyDiv w:val="1"/>
      <w:marLeft w:val="0"/>
      <w:marRight w:val="0"/>
      <w:marTop w:val="0"/>
      <w:marBottom w:val="0"/>
      <w:divBdr>
        <w:top w:val="none" w:sz="0" w:space="0" w:color="auto"/>
        <w:left w:val="none" w:sz="0" w:space="0" w:color="auto"/>
        <w:bottom w:val="none" w:sz="0" w:space="0" w:color="auto"/>
        <w:right w:val="none" w:sz="0" w:space="0" w:color="auto"/>
      </w:divBdr>
    </w:div>
    <w:div w:id="1767994836">
      <w:bodyDiv w:val="1"/>
      <w:marLeft w:val="0"/>
      <w:marRight w:val="0"/>
      <w:marTop w:val="0"/>
      <w:marBottom w:val="0"/>
      <w:divBdr>
        <w:top w:val="none" w:sz="0" w:space="0" w:color="auto"/>
        <w:left w:val="none" w:sz="0" w:space="0" w:color="auto"/>
        <w:bottom w:val="none" w:sz="0" w:space="0" w:color="auto"/>
        <w:right w:val="none" w:sz="0" w:space="0" w:color="auto"/>
      </w:divBdr>
    </w:div>
    <w:div w:id="1874153156">
      <w:bodyDiv w:val="1"/>
      <w:marLeft w:val="0"/>
      <w:marRight w:val="0"/>
      <w:marTop w:val="0"/>
      <w:marBottom w:val="0"/>
      <w:divBdr>
        <w:top w:val="none" w:sz="0" w:space="0" w:color="auto"/>
        <w:left w:val="none" w:sz="0" w:space="0" w:color="auto"/>
        <w:bottom w:val="none" w:sz="0" w:space="0" w:color="auto"/>
        <w:right w:val="none" w:sz="0" w:space="0" w:color="auto"/>
      </w:divBdr>
    </w:div>
    <w:div w:id="1890992940">
      <w:bodyDiv w:val="1"/>
      <w:marLeft w:val="0"/>
      <w:marRight w:val="0"/>
      <w:marTop w:val="0"/>
      <w:marBottom w:val="0"/>
      <w:divBdr>
        <w:top w:val="none" w:sz="0" w:space="0" w:color="auto"/>
        <w:left w:val="none" w:sz="0" w:space="0" w:color="auto"/>
        <w:bottom w:val="none" w:sz="0" w:space="0" w:color="auto"/>
        <w:right w:val="none" w:sz="0" w:space="0" w:color="auto"/>
      </w:divBdr>
    </w:div>
    <w:div w:id="1933970283">
      <w:bodyDiv w:val="1"/>
      <w:marLeft w:val="0"/>
      <w:marRight w:val="0"/>
      <w:marTop w:val="0"/>
      <w:marBottom w:val="0"/>
      <w:divBdr>
        <w:top w:val="none" w:sz="0" w:space="0" w:color="auto"/>
        <w:left w:val="none" w:sz="0" w:space="0" w:color="auto"/>
        <w:bottom w:val="none" w:sz="0" w:space="0" w:color="auto"/>
        <w:right w:val="none" w:sz="0" w:space="0" w:color="auto"/>
      </w:divBdr>
    </w:div>
    <w:div w:id="210090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chart" Target="charts/chart2.xml"/><Relationship Id="rId26" Type="http://schemas.openxmlformats.org/officeDocument/2006/relationships/chart" Target="charts/chart7.xml"/><Relationship Id="rId39" Type="http://schemas.openxmlformats.org/officeDocument/2006/relationships/chart" Target="charts/chart13.xml"/><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chart" Target="charts/chart11.xml"/><Relationship Id="rId42" Type="http://schemas.openxmlformats.org/officeDocument/2006/relationships/chart" Target="charts/chart14.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brokername.thinkhrlive.com" TargetMode="External"/><Relationship Id="rId17" Type="http://schemas.openxmlformats.org/officeDocument/2006/relationships/chart" Target="charts/chart2.xml"/><Relationship Id="rId25" Type="http://schemas.openxmlformats.org/officeDocument/2006/relationships/chart" Target="charts/chart6.xml"/><Relationship Id="rId33" Type="http://schemas.openxmlformats.org/officeDocument/2006/relationships/chart" Target="charts/chart10.xml"/><Relationship Id="rId38" Type="http://schemas.openxmlformats.org/officeDocument/2006/relationships/chart" Target="charts/chart12.xml"/><Relationship Id="rId46" Type="http://schemas.openxmlformats.org/officeDocument/2006/relationships/chart" Target="charts/chart16.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chart" Target="charts/chart3.xml"/><Relationship Id="rId29" Type="http://schemas.openxmlformats.org/officeDocument/2006/relationships/chart" Target="charts/chart8.xml"/><Relationship Id="rId41"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illing@thinkhr.com" TargetMode="External"/><Relationship Id="rId24" Type="http://schemas.openxmlformats.org/officeDocument/2006/relationships/chart" Target="charts/chart5.xml"/><Relationship Id="rId32" Type="http://schemas.openxmlformats.org/officeDocument/2006/relationships/chart" Target="charts/chart9.xml"/><Relationship Id="rId37" Type="http://schemas.openxmlformats.org/officeDocument/2006/relationships/chart" Target="charts/chart12.xml"/><Relationship Id="rId40" Type="http://schemas.openxmlformats.org/officeDocument/2006/relationships/chart" Target="charts/chart14.xml"/><Relationship Id="rId45" Type="http://schemas.openxmlformats.org/officeDocument/2006/relationships/chart" Target="charts/chart15.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chart" Target="charts/chart5.xml"/><Relationship Id="rId28" Type="http://schemas.openxmlformats.org/officeDocument/2006/relationships/chart" Target="charts/chart7.xml"/><Relationship Id="rId36" Type="http://schemas.openxmlformats.org/officeDocument/2006/relationships/chart" Target="charts/chart11.xml"/><Relationship Id="rId10" Type="http://schemas.openxmlformats.org/officeDocument/2006/relationships/hyperlink" Target="mailto:jjustus@thinkhr.com" TargetMode="External"/><Relationship Id="rId19" Type="http://schemas.openxmlformats.org/officeDocument/2006/relationships/chart" Target="charts/chart3.xml"/><Relationship Id="rId31" Type="http://schemas.openxmlformats.org/officeDocument/2006/relationships/chart" Target="charts/chart9.xml"/><Relationship Id="rId44" Type="http://schemas.openxmlformats.org/officeDocument/2006/relationships/chart" Target="charts/chart16.xml"/><Relationship Id="rId4" Type="http://schemas.microsoft.com/office/2007/relationships/stylesWithEffects" Target="stylesWithEffects.xml"/><Relationship Id="rId9" Type="http://schemas.openxmlformats.org/officeDocument/2006/relationships/hyperlink" Target="mailto:Customersuccess@thinkhr.com" TargetMode="External"/><Relationship Id="rId14" Type="http://schemas.openxmlformats.org/officeDocument/2006/relationships/image" Target="media/image10.jpeg"/><Relationship Id="rId22" Type="http://schemas.openxmlformats.org/officeDocument/2006/relationships/chart" Target="charts/chart4.xml"/><Relationship Id="rId27" Type="http://schemas.openxmlformats.org/officeDocument/2006/relationships/chart" Target="charts/chart6.xml"/><Relationship Id="rId30" Type="http://schemas.openxmlformats.org/officeDocument/2006/relationships/chart" Target="charts/chart8.xml"/><Relationship Id="rId35" Type="http://schemas.openxmlformats.org/officeDocument/2006/relationships/chart" Target="charts/chart10.xml"/><Relationship Id="rId43" Type="http://schemas.openxmlformats.org/officeDocument/2006/relationships/chart" Target="charts/chart15.xml"/><Relationship Id="rId48"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vgarcia\Documents\Customer%20Success\Partner%20Resources\StoneTapert%20Category%20Usage%20for%20PVR%2010.23.13.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garcia\Documents\Customer%20Success\Partner%20Resources\StoneTapert%20Category%20Usage%20for%20PVR%2010.23.13.xls"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vgarcia\Documents\Customer%20Success\Partner%20Resources\StoneTapert%20Category%20Usage%20for%20PVR%2010.23.13.xls"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vgarcia\Downloads\ThinkHR%20Export%20(95).xls"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vgarcia\Documents\Customer%20Success\Partner%20Resources\StoneTapert%20Category%20Usage%20for%20PVR%2010.23.13.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Hotline</a:t>
            </a:r>
            <a:r>
              <a:rPr lang="en-US" baseline="0"/>
              <a:t> Questions by Category</a:t>
            </a:r>
            <a:endParaRPr lang="en-US"/>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'[ThinkHR Export (95).xls]Sheet1'!$B$2:$B$9</c:f>
              <c:strCache>
                <c:ptCount val="8"/>
                <c:pt idx="0">
                  <c:v>Compensation</c:v>
                </c:pt>
                <c:pt idx="1">
                  <c:v>Employee Benefits</c:v>
                </c:pt>
                <c:pt idx="2">
                  <c:v>Leaves of Absence</c:v>
                </c:pt>
                <c:pt idx="3">
                  <c:v>Compliance</c:v>
                </c:pt>
                <c:pt idx="4">
                  <c:v>Other</c:v>
                </c:pt>
                <c:pt idx="5">
                  <c:v>Recruiting and Hiring</c:v>
                </c:pt>
                <c:pt idx="6">
                  <c:v>Employee Management</c:v>
                </c:pt>
                <c:pt idx="7">
                  <c:v>Terminations</c:v>
                </c:pt>
              </c:strCache>
            </c:strRef>
          </c:cat>
          <c:val>
            <c:numRef>
              <c:f>'[ThinkHR Export (95).xls]Sheet1'!$C$2:$C$9</c:f>
              <c:numCache>
                <c:formatCode>General</c:formatCode>
                <c:ptCount val="8"/>
                <c:pt idx="0">
                  <c:v>7</c:v>
                </c:pt>
                <c:pt idx="1">
                  <c:v>7</c:v>
                </c:pt>
                <c:pt idx="2">
                  <c:v>7</c:v>
                </c:pt>
                <c:pt idx="3">
                  <c:v>4</c:v>
                </c:pt>
                <c:pt idx="4">
                  <c:v>4</c:v>
                </c:pt>
                <c:pt idx="5">
                  <c:v>2</c:v>
                </c:pt>
                <c:pt idx="6">
                  <c:v>1</c:v>
                </c:pt>
                <c:pt idx="7">
                  <c:v>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Hotline</a:t>
            </a:r>
          </a:p>
        </c:rich>
      </c:tx>
      <c:layout/>
      <c:overlay val="0"/>
    </c:title>
    <c:autoTitleDeleted val="0"/>
    <c:plotArea>
      <c:layout/>
      <c:pieChart>
        <c:varyColors val="1"/>
        <c:ser>
          <c:idx val="0"/>
          <c:order val="0"/>
          <c:dLbls>
            <c:dLbl>
              <c:idx val="0"/>
              <c:layout/>
              <c:tx>
                <c:rich>
                  <a:bodyPr/>
                  <a:lstStyle/>
                  <a:p>
                    <a:r>
                      <a:rPr lang="en-US"/>
                      <a:t>MEDServices, Inc.
28%</a:t>
                    </a:r>
                  </a:p>
                </c:rich>
              </c:tx>
              <c:showLegendKey val="0"/>
              <c:showVal val="0"/>
              <c:showCatName val="1"/>
              <c:showSerName val="0"/>
              <c:showPercent val="1"/>
              <c:showBubbleSize val="0"/>
            </c:dLbl>
            <c:dLbl>
              <c:idx val="1"/>
              <c:layout>
                <c:manualLayout>
                  <c:x val="-0.15319776084899955"/>
                  <c:y val="-8.7421154735520756E-2"/>
                </c:manualLayout>
              </c:layout>
              <c:tx>
                <c:rich>
                  <a:bodyPr/>
                  <a:lstStyle/>
                  <a:p>
                    <a:r>
                      <a:rPr lang="en-US"/>
                      <a:t>Dunder</a:t>
                    </a:r>
                    <a:r>
                      <a:rPr lang="en-US" baseline="0"/>
                      <a:t> </a:t>
                    </a:r>
                    <a:r>
                      <a:rPr lang="en-US"/>
                      <a:t>Industries, Inc.
12%</a:t>
                    </a:r>
                  </a:p>
                </c:rich>
              </c:tx>
              <c:showLegendKey val="0"/>
              <c:showVal val="0"/>
              <c:showCatName val="1"/>
              <c:showSerName val="0"/>
              <c:showPercent val="1"/>
              <c:showBubbleSize val="0"/>
            </c:dLbl>
            <c:dLbl>
              <c:idx val="2"/>
              <c:layout/>
              <c:tx>
                <c:rich>
                  <a:bodyPr/>
                  <a:lstStyle/>
                  <a:p>
                    <a:r>
                      <a:rPr lang="en-US"/>
                      <a:t>Mifflin Case Management Services of America
12%</a:t>
                    </a:r>
                  </a:p>
                </c:rich>
              </c:tx>
              <c:showLegendKey val="0"/>
              <c:showVal val="0"/>
              <c:showCatName val="1"/>
              <c:showSerName val="0"/>
              <c:showPercent val="1"/>
              <c:showBubbleSize val="0"/>
            </c:dLbl>
            <c:dLbl>
              <c:idx val="3"/>
              <c:layout/>
              <c:tx>
                <c:rich>
                  <a:bodyPr/>
                  <a:lstStyle/>
                  <a:p>
                    <a:r>
                      <a:rPr lang="en-US"/>
                      <a:t>Golf</a:t>
                    </a:r>
                    <a:r>
                      <a:rPr lang="en-US" baseline="0"/>
                      <a:t> Club of California</a:t>
                    </a:r>
                    <a:r>
                      <a:rPr lang="en-US"/>
                      <a:t>
9%</a:t>
                    </a:r>
                  </a:p>
                </c:rich>
              </c:tx>
              <c:showLegendKey val="0"/>
              <c:showVal val="0"/>
              <c:showCatName val="1"/>
              <c:showSerName val="0"/>
              <c:showPercent val="1"/>
              <c:showBubbleSize val="0"/>
            </c:dLbl>
            <c:dLbl>
              <c:idx val="4"/>
              <c:layout/>
              <c:tx>
                <c:rich>
                  <a:bodyPr/>
                  <a:lstStyle/>
                  <a:p>
                    <a:r>
                      <a:rPr lang="en-US"/>
                      <a:t>Tangine
6%</a:t>
                    </a:r>
                  </a:p>
                </c:rich>
              </c:tx>
              <c:showLegendKey val="0"/>
              <c:showVal val="0"/>
              <c:showCatName val="1"/>
              <c:showSerName val="0"/>
              <c:showPercent val="1"/>
              <c:showBubbleSize val="0"/>
            </c:dLbl>
            <c:dLbl>
              <c:idx val="5"/>
              <c:layout/>
              <c:tx>
                <c:rich>
                  <a:bodyPr/>
                  <a:lstStyle/>
                  <a:p>
                    <a:r>
                      <a:rPr lang="en-US"/>
                      <a:t>Car Dealership</a:t>
                    </a:r>
                    <a:r>
                      <a:rPr lang="en-US" baseline="0"/>
                      <a:t> USA</a:t>
                    </a:r>
                    <a:r>
                      <a:rPr lang="en-US"/>
                      <a:t>
6%</a:t>
                    </a:r>
                  </a:p>
                </c:rich>
              </c:tx>
              <c:showLegendKey val="0"/>
              <c:showVal val="0"/>
              <c:showCatName val="1"/>
              <c:showSerName val="0"/>
              <c:showPercent val="1"/>
              <c:showBubbleSize val="0"/>
            </c:dLbl>
            <c:dLbl>
              <c:idx val="6"/>
              <c:layout/>
              <c:tx>
                <c:rich>
                  <a:bodyPr/>
                  <a:lstStyle/>
                  <a:p>
                    <a:r>
                      <a:rPr lang="en-US"/>
                      <a:t>EdTac Inc.
6%</a:t>
                    </a:r>
                  </a:p>
                </c:rich>
              </c:tx>
              <c:showLegendKey val="0"/>
              <c:showVal val="0"/>
              <c:showCatName val="1"/>
              <c:showSerName val="0"/>
              <c:showPercent val="1"/>
              <c:showBubbleSize val="0"/>
            </c:dLbl>
            <c:dLbl>
              <c:idx val="7"/>
              <c:layout/>
              <c:tx>
                <c:rich>
                  <a:bodyPr/>
                  <a:lstStyle/>
                  <a:p>
                    <a:r>
                      <a:rPr lang="en-US"/>
                      <a:t>Rapitro, Inc.
6%</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(95).xls]Sheet1'!$A$39:$A$47</c:f>
              <c:strCache>
                <c:ptCount val="9"/>
                <c:pt idx="0">
                  <c:v>FEDServices, Inc.</c:v>
                </c:pt>
                <c:pt idx="1">
                  <c:v>Dulany Industries, Inc.</c:v>
                </c:pt>
                <c:pt idx="2">
                  <c:v>Professional Case Management Services of America</c:v>
                </c:pt>
                <c:pt idx="3">
                  <c:v>Savannah Golf Club</c:v>
                </c:pt>
                <c:pt idx="4">
                  <c:v>Circa Lighting</c:v>
                </c:pt>
                <c:pt idx="5">
                  <c:v>Dan Vaden Chevrolet</c:v>
                </c:pt>
                <c:pt idx="6">
                  <c:v>Medient Studios, Inc.</c:v>
                </c:pt>
                <c:pt idx="7">
                  <c:v>Premier Exteriors, LLC</c:v>
                </c:pt>
                <c:pt idx="8">
                  <c:v>One Time Users</c:v>
                </c:pt>
              </c:strCache>
            </c:strRef>
          </c:cat>
          <c:val>
            <c:numRef>
              <c:f>'[ThinkHR Export (95).xls]Sheet1'!$B$39:$B$47</c:f>
              <c:numCache>
                <c:formatCode>General</c:formatCode>
                <c:ptCount val="9"/>
                <c:pt idx="0">
                  <c:v>9</c:v>
                </c:pt>
                <c:pt idx="1">
                  <c:v>4</c:v>
                </c:pt>
                <c:pt idx="2">
                  <c:v>4</c:v>
                </c:pt>
                <c:pt idx="3">
                  <c:v>3</c:v>
                </c:pt>
                <c:pt idx="4">
                  <c:v>2</c:v>
                </c:pt>
                <c:pt idx="5">
                  <c:v>2</c:v>
                </c:pt>
                <c:pt idx="6">
                  <c:v>2</c:v>
                </c:pt>
                <c:pt idx="7">
                  <c:v>2</c:v>
                </c:pt>
                <c:pt idx="8">
                  <c:v>5</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Web Resources by Category</a:t>
            </a: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'[ThinkHR Export (95).xls]Sheet3'!$A$22:$A$29</c:f>
              <c:strCache>
                <c:ptCount val="8"/>
                <c:pt idx="0">
                  <c:v>Employee Benefits</c:v>
                </c:pt>
                <c:pt idx="1">
                  <c:v>Forms, Policies &amp; Checklists</c:v>
                </c:pt>
                <c:pt idx="2">
                  <c:v>Resource Center</c:v>
                </c:pt>
                <c:pt idx="3">
                  <c:v>Recruiting &amp; Hiring</c:v>
                </c:pt>
                <c:pt idx="4">
                  <c:v>State Laws</c:v>
                </c:pt>
                <c:pt idx="5">
                  <c:v>FMLA</c:v>
                </c:pt>
                <c:pt idx="6">
                  <c:v>HR News</c:v>
                </c:pt>
                <c:pt idx="7">
                  <c:v>Handbook</c:v>
                </c:pt>
              </c:strCache>
            </c:strRef>
          </c:cat>
          <c:val>
            <c:numRef>
              <c:f>'[ThinkHR Export (95).xls]Sheet3'!$B$22:$B$29</c:f>
              <c:numCache>
                <c:formatCode>General</c:formatCode>
                <c:ptCount val="8"/>
                <c:pt idx="0">
                  <c:v>143</c:v>
                </c:pt>
                <c:pt idx="1">
                  <c:v>85</c:v>
                </c:pt>
                <c:pt idx="2">
                  <c:v>72</c:v>
                </c:pt>
                <c:pt idx="3">
                  <c:v>25</c:v>
                </c:pt>
                <c:pt idx="4">
                  <c:v>21</c:v>
                </c:pt>
                <c:pt idx="5">
                  <c:v>20</c:v>
                </c:pt>
                <c:pt idx="6">
                  <c:v>20</c:v>
                </c:pt>
                <c:pt idx="7">
                  <c:v>20</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Web Resources</a:t>
            </a:r>
          </a:p>
        </c:rich>
      </c:tx>
      <c:layout/>
      <c:overlay val="0"/>
    </c:title>
    <c:autoTitleDeleted val="0"/>
    <c:plotArea>
      <c:layout/>
      <c:pieChart>
        <c:varyColors val="1"/>
        <c:ser>
          <c:idx val="0"/>
          <c:order val="0"/>
          <c:dLbls>
            <c:dLbl>
              <c:idx val="0"/>
              <c:layout/>
              <c:tx>
                <c:rich>
                  <a:bodyPr/>
                  <a:lstStyle/>
                  <a:p>
                    <a:r>
                      <a:rPr lang="en-US"/>
                      <a:t>Tangine
41%</a:t>
                    </a:r>
                  </a:p>
                </c:rich>
              </c:tx>
              <c:showLegendKey val="0"/>
              <c:showVal val="0"/>
              <c:showCatName val="1"/>
              <c:showSerName val="0"/>
              <c:showPercent val="1"/>
              <c:showBubbleSize val="0"/>
            </c:dLbl>
            <c:dLbl>
              <c:idx val="1"/>
              <c:layout/>
              <c:tx>
                <c:rich>
                  <a:bodyPr/>
                  <a:lstStyle/>
                  <a:p>
                    <a:r>
                      <a:rPr lang="en-US"/>
                      <a:t>EdTac</a:t>
                    </a:r>
                    <a:r>
                      <a:rPr lang="en-US" baseline="0"/>
                      <a:t> Inc.</a:t>
                    </a:r>
                    <a:r>
                      <a:rPr lang="en-US"/>
                      <a:t>
14%</a:t>
                    </a:r>
                  </a:p>
                </c:rich>
              </c:tx>
              <c:showLegendKey val="0"/>
              <c:showVal val="0"/>
              <c:showCatName val="1"/>
              <c:showSerName val="0"/>
              <c:showPercent val="1"/>
              <c:showBubbleSize val="0"/>
            </c:dLbl>
            <c:dLbl>
              <c:idx val="2"/>
              <c:layout/>
              <c:tx>
                <c:rich>
                  <a:bodyPr/>
                  <a:lstStyle/>
                  <a:p>
                    <a:r>
                      <a:rPr lang="en-US"/>
                      <a:t>Rapitro,</a:t>
                    </a:r>
                    <a:r>
                      <a:rPr lang="en-US" baseline="0"/>
                      <a:t> Inc.</a:t>
                    </a:r>
                    <a:r>
                      <a:rPr lang="en-US"/>
                      <a:t>
10%</a:t>
                    </a:r>
                  </a:p>
                </c:rich>
              </c:tx>
              <c:showLegendKey val="0"/>
              <c:showVal val="0"/>
              <c:showCatName val="1"/>
              <c:showSerName val="0"/>
              <c:showPercent val="1"/>
              <c:showBubbleSize val="0"/>
            </c:dLbl>
            <c:dLbl>
              <c:idx val="3"/>
              <c:layout/>
              <c:tx>
                <c:rich>
                  <a:bodyPr/>
                  <a:lstStyle/>
                  <a:p>
                    <a:r>
                      <a:rPr lang="en-US"/>
                      <a:t>Mixed</a:t>
                    </a:r>
                    <a:r>
                      <a:rPr lang="en-US" baseline="0"/>
                      <a:t> Metrix LLC</a:t>
                    </a:r>
                    <a:r>
                      <a:rPr lang="en-US"/>
                      <a:t>
8%</a:t>
                    </a:r>
                  </a:p>
                </c:rich>
              </c:tx>
              <c:showLegendKey val="0"/>
              <c:showVal val="0"/>
              <c:showCatName val="1"/>
              <c:showSerName val="0"/>
              <c:showPercent val="1"/>
              <c:showBubbleSize val="0"/>
            </c:dLbl>
            <c:dLbl>
              <c:idx val="4"/>
              <c:layout/>
              <c:tx>
                <c:rich>
                  <a:bodyPr/>
                  <a:lstStyle/>
                  <a:p>
                    <a:r>
                      <a:rPr lang="en-US"/>
                      <a:t>Creative</a:t>
                    </a:r>
                    <a:r>
                      <a:rPr lang="en-US" baseline="0"/>
                      <a:t> Comm Corp</a:t>
                    </a:r>
                    <a:r>
                      <a:rPr lang="en-US"/>
                      <a:t>.
8%</a:t>
                    </a:r>
                  </a:p>
                </c:rich>
              </c:tx>
              <c:showLegendKey val="0"/>
              <c:showVal val="0"/>
              <c:showCatName val="1"/>
              <c:showSerName val="0"/>
              <c:showPercent val="1"/>
              <c:showBubbleSize val="0"/>
            </c:dLbl>
            <c:dLbl>
              <c:idx val="5"/>
              <c:layout>
                <c:manualLayout>
                  <c:x val="1.4512565876494989E-3"/>
                  <c:y val="-1.8593127247982892E-2"/>
                </c:manualLayout>
              </c:layout>
              <c:tx>
                <c:rich>
                  <a:bodyPr/>
                  <a:lstStyle/>
                  <a:p>
                    <a:r>
                      <a:rPr lang="en-US"/>
                      <a:t>Community</a:t>
                    </a:r>
                    <a:r>
                      <a:rPr lang="en-US" baseline="0"/>
                      <a:t> International</a:t>
                    </a:r>
                    <a:r>
                      <a:rPr lang="en-US"/>
                      <a:t>
7%</a:t>
                    </a:r>
                  </a:p>
                </c:rich>
              </c:tx>
              <c:showLegendKey val="0"/>
              <c:showVal val="0"/>
              <c:showCatName val="1"/>
              <c:showSerName val="0"/>
              <c:showPercent val="1"/>
              <c:showBubbleSize val="0"/>
            </c:dLbl>
            <c:dLbl>
              <c:idx val="6"/>
              <c:layout/>
              <c:tx>
                <c:rich>
                  <a:bodyPr/>
                  <a:lstStyle/>
                  <a:p>
                    <a:r>
                      <a:rPr lang="en-US"/>
                      <a:t>Go</a:t>
                    </a:r>
                    <a:r>
                      <a:rPr lang="en-US" baseline="0"/>
                      <a:t> Now Tours</a:t>
                    </a:r>
                    <a:r>
                      <a:rPr lang="en-US"/>
                      <a:t>
6%</a:t>
                    </a:r>
                  </a:p>
                </c:rich>
              </c:tx>
              <c:showLegendKey val="0"/>
              <c:showVal val="0"/>
              <c:showCatName val="1"/>
              <c:showSerName val="0"/>
              <c:showPercent val="1"/>
              <c:showBubbleSize val="0"/>
            </c:dLbl>
            <c:dLbl>
              <c:idx val="7"/>
              <c:layout/>
              <c:tx>
                <c:rich>
                  <a:bodyPr/>
                  <a:lstStyle/>
                  <a:p>
                    <a:r>
                      <a:rPr lang="en-US"/>
                      <a:t>iEnbrace</a:t>
                    </a:r>
                    <a:r>
                      <a:rPr lang="en-US" baseline="0"/>
                      <a:t> Technology, Inc.</a:t>
                    </a:r>
                    <a:r>
                      <a:rPr lang="en-US"/>
                      <a:t>
6%</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(95).xls]Sheet3'!$A$2:$A$9</c:f>
              <c:strCache>
                <c:ptCount val="8"/>
                <c:pt idx="0">
                  <c:v>Circa Lighting</c:v>
                </c:pt>
                <c:pt idx="1">
                  <c:v>SouthCoast Medical Group, LLC</c:v>
                </c:pt>
                <c:pt idx="2">
                  <c:v>Savannah College of Art &amp; Design</c:v>
                </c:pt>
                <c:pt idx="3">
                  <c:v>ARCO, Inc.</c:v>
                </c:pt>
                <c:pt idx="4">
                  <c:v>Dulany Industries, Inc.</c:v>
                </c:pt>
                <c:pt idx="5">
                  <c:v>Thomas &amp; Hutton</c:v>
                </c:pt>
                <c:pt idx="6">
                  <c:v>Evans Memorial Hospital</c:v>
                </c:pt>
                <c:pt idx="7">
                  <c:v>Medient Studios, Inc.</c:v>
                </c:pt>
              </c:strCache>
            </c:strRef>
          </c:cat>
          <c:val>
            <c:numRef>
              <c:f>'[ThinkHR Export (95).xls]Sheet3'!$B$2:$B$9</c:f>
              <c:numCache>
                <c:formatCode>General</c:formatCode>
                <c:ptCount val="8"/>
                <c:pt idx="0">
                  <c:v>40</c:v>
                </c:pt>
                <c:pt idx="1">
                  <c:v>13</c:v>
                </c:pt>
                <c:pt idx="2">
                  <c:v>9</c:v>
                </c:pt>
                <c:pt idx="3">
                  <c:v>8</c:v>
                </c:pt>
                <c:pt idx="4">
                  <c:v>8</c:v>
                </c:pt>
                <c:pt idx="5">
                  <c:v>7</c:v>
                </c:pt>
                <c:pt idx="6">
                  <c:v>6</c:v>
                </c:pt>
                <c:pt idx="7">
                  <c:v>6</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Training</a:t>
            </a: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Sheet1!$S$6:$S$11</c:f>
              <c:strCache>
                <c:ptCount val="6"/>
                <c:pt idx="0">
                  <c:v>MedServices, Inc.</c:v>
                </c:pt>
                <c:pt idx="1">
                  <c:v>Mifflin Case Management</c:v>
                </c:pt>
                <c:pt idx="2">
                  <c:v>EdTac Inc.</c:v>
                </c:pt>
                <c:pt idx="3">
                  <c:v>Rapitro, Inc.</c:v>
                </c:pt>
                <c:pt idx="4">
                  <c:v>Car Dealership USA</c:v>
                </c:pt>
                <c:pt idx="5">
                  <c:v>Tangine</c:v>
                </c:pt>
              </c:strCache>
            </c:strRef>
          </c:cat>
          <c:val>
            <c:numRef>
              <c:f>Sheet1!$T$6:$T$11</c:f>
              <c:numCache>
                <c:formatCode>0%</c:formatCode>
                <c:ptCount val="6"/>
                <c:pt idx="0">
                  <c:v>0.45</c:v>
                </c:pt>
                <c:pt idx="1">
                  <c:v>0.23</c:v>
                </c:pt>
                <c:pt idx="2">
                  <c:v>0.17</c:v>
                </c:pt>
                <c:pt idx="3">
                  <c:v>0.06</c:v>
                </c:pt>
                <c:pt idx="4">
                  <c:v>0.05</c:v>
                </c:pt>
                <c:pt idx="5">
                  <c:v>0.04</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Training Courses</a:t>
            </a:r>
          </a:p>
        </c:rich>
      </c:tx>
      <c:layout/>
      <c:overlay val="0"/>
    </c:title>
    <c:autoTitleDeleted val="0"/>
    <c:plotArea>
      <c:layout/>
      <c:pieChart>
        <c:varyColors val="1"/>
        <c:ser>
          <c:idx val="0"/>
          <c:order val="0"/>
          <c:dLbls>
            <c:dLbl>
              <c:idx val="1"/>
              <c:layout>
                <c:manualLayout>
                  <c:x val="-0.13660300592507238"/>
                  <c:y val="0.33902136374829578"/>
                </c:manualLayout>
              </c:layout>
              <c:showLegendKey val="0"/>
              <c:showVal val="0"/>
              <c:showCatName val="1"/>
              <c:showSerName val="0"/>
              <c:showPercent val="1"/>
              <c:showBubbleSize val="0"/>
            </c:dLbl>
            <c:dLbl>
              <c:idx val="2"/>
              <c:layout>
                <c:manualLayout>
                  <c:x val="-0.11491652974272525"/>
                  <c:y val="-2.9071755046637476E-2"/>
                </c:manualLayout>
              </c:layout>
              <c:showLegendKey val="0"/>
              <c:showVal val="0"/>
              <c:showCatName val="1"/>
              <c:showSerName val="0"/>
              <c:showPercent val="1"/>
              <c:showBubbleSize val="0"/>
            </c:dLbl>
            <c:dLbl>
              <c:idx val="3"/>
              <c:layout>
                <c:manualLayout>
                  <c:x val="0.51391986570784343"/>
                  <c:y val="7.3445407424758399E-2"/>
                </c:manualLayout>
              </c:layout>
              <c:showLegendKey val="0"/>
              <c:showVal val="0"/>
              <c:showCatName val="1"/>
              <c:showSerName val="0"/>
              <c:showPercent val="1"/>
              <c:showBubbleSize val="0"/>
            </c:dLbl>
            <c:dLbl>
              <c:idx val="4"/>
              <c:layout>
                <c:manualLayout>
                  <c:x val="4.8355134469979869E-2"/>
                  <c:y val="5.1812825456314528E-2"/>
                </c:manualLayout>
              </c:layout>
              <c:showLegendKey val="0"/>
              <c:showVal val="0"/>
              <c:showCatName val="1"/>
              <c:showSerName val="0"/>
              <c:showPercent val="1"/>
              <c:showBubbleSize val="0"/>
            </c:dLbl>
            <c:dLbl>
              <c:idx val="5"/>
              <c:layout>
                <c:manualLayout>
                  <c:x val="-0.37455590408922462"/>
                  <c:y val="0.1208360511000198"/>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(95).xls]Sheet5'!$A$1:$A$6</c:f>
              <c:strCache>
                <c:ptCount val="6"/>
                <c:pt idx="0">
                  <c:v>FMLA--What Supervisors Need to Know</c:v>
                </c:pt>
                <c:pt idx="1">
                  <c:v>Employment Law For Supervisors--What You Should and Shouldn't Do</c:v>
                </c:pt>
                <c:pt idx="2">
                  <c:v>Generational Diversity</c:v>
                </c:pt>
                <c:pt idx="3">
                  <c:v>Good Housekeeping</c:v>
                </c:pt>
                <c:pt idx="4">
                  <c:v>Stress Management</c:v>
                </c:pt>
                <c:pt idx="5">
                  <c:v>Workplace Ethics for Supervisors</c:v>
                </c:pt>
              </c:strCache>
            </c:strRef>
          </c:cat>
          <c:val>
            <c:numRef>
              <c:f>'[ThinkHR Export (95).xls]Sheet5'!$B$1:$B$6</c:f>
              <c:numCache>
                <c:formatCode>General</c:formatCode>
                <c:ptCount val="6"/>
                <c:pt idx="0">
                  <c:v>70</c:v>
                </c:pt>
                <c:pt idx="1">
                  <c:v>1</c:v>
                </c:pt>
                <c:pt idx="2">
                  <c:v>1</c:v>
                </c:pt>
                <c:pt idx="3">
                  <c:v>1</c:v>
                </c:pt>
                <c:pt idx="4">
                  <c:v>1</c:v>
                </c:pt>
                <c:pt idx="5">
                  <c:v>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baseline="0"/>
              <a:t>Training Courses</a:t>
            </a:r>
            <a:endParaRPr lang="en-US"/>
          </a:p>
        </c:rich>
      </c:tx>
      <c:layout/>
      <c:overlay val="0"/>
    </c:title>
    <c:autoTitleDeleted val="0"/>
    <c:plotArea>
      <c:layout/>
      <c:pieChart>
        <c:varyColors val="1"/>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HRCI Webinar by Topic</a:t>
            </a: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'[ThinkHR Export (95).xls]Sheet6'!$B$1:$B$2</c:f>
              <c:strCache>
                <c:ptCount val="2"/>
                <c:pt idx="0">
                  <c:v>Health Care Reform</c:v>
                </c:pt>
                <c:pt idx="1">
                  <c:v>Harassment Investigation</c:v>
                </c:pt>
              </c:strCache>
            </c:strRef>
          </c:cat>
          <c:val>
            <c:numRef>
              <c:f>'[ThinkHR Export (95).xls]Sheet6'!$C$1:$C$2</c:f>
              <c:numCache>
                <c:formatCode>General</c:formatCode>
                <c:ptCount val="2"/>
                <c:pt idx="0">
                  <c:v>10</c:v>
                </c:pt>
                <c:pt idx="1">
                  <c:v>10</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HRCI Webinars</a:t>
            </a:r>
          </a:p>
        </c:rich>
      </c:tx>
      <c:layout/>
      <c:overlay val="0"/>
    </c:title>
    <c:autoTitleDeleted val="0"/>
    <c:plotArea>
      <c:layout/>
      <c:pieChart>
        <c:varyColors val="1"/>
        <c:ser>
          <c:idx val="0"/>
          <c:order val="0"/>
          <c:dLbls>
            <c:dLbl>
              <c:idx val="0"/>
              <c:layout>
                <c:manualLayout>
                  <c:x val="0.2340014316392269"/>
                  <c:y val="3.8966938877419903E-3"/>
                </c:manualLayout>
              </c:layout>
              <c:tx>
                <c:rich>
                  <a:bodyPr/>
                  <a:lstStyle/>
                  <a:p>
                    <a:r>
                      <a:rPr lang="en-US"/>
                      <a:t>Mixed Metrix LLC
5%</a:t>
                    </a:r>
                  </a:p>
                </c:rich>
              </c:tx>
              <c:showLegendKey val="0"/>
              <c:showVal val="0"/>
              <c:showCatName val="1"/>
              <c:showSerName val="0"/>
              <c:showPercent val="1"/>
              <c:showBubbleSize val="0"/>
            </c:dLbl>
            <c:dLbl>
              <c:idx val="1"/>
              <c:layout/>
              <c:tx>
                <c:rich>
                  <a:bodyPr/>
                  <a:lstStyle/>
                  <a:p>
                    <a:r>
                      <a:rPr lang="en-US"/>
                      <a:t>Hospitality Group
35%</a:t>
                    </a:r>
                  </a:p>
                </c:rich>
              </c:tx>
              <c:showLegendKey val="0"/>
              <c:showVal val="0"/>
              <c:showCatName val="1"/>
              <c:showSerName val="0"/>
              <c:showPercent val="1"/>
              <c:showBubbleSize val="0"/>
            </c:dLbl>
            <c:dLbl>
              <c:idx val="2"/>
              <c:layout/>
              <c:tx>
                <c:rich>
                  <a:bodyPr/>
                  <a:lstStyle/>
                  <a:p>
                    <a:r>
                      <a:rPr lang="en-US"/>
                      <a:t>Bank
15%</a:t>
                    </a:r>
                  </a:p>
                </c:rich>
              </c:tx>
              <c:showLegendKey val="0"/>
              <c:showVal val="0"/>
              <c:showCatName val="1"/>
              <c:showSerName val="0"/>
              <c:showPercent val="1"/>
              <c:showBubbleSize val="0"/>
            </c:dLbl>
            <c:dLbl>
              <c:idx val="3"/>
              <c:layout>
                <c:manualLayout>
                  <c:x val="0.1795025755470406"/>
                  <c:y val="-2.2211910286156225E-2"/>
                </c:manualLayout>
              </c:layout>
              <c:tx>
                <c:rich>
                  <a:bodyPr/>
                  <a:lstStyle/>
                  <a:p>
                    <a:r>
                      <a:rPr lang="en-US"/>
                      <a:t>Transit Authority
5%</a:t>
                    </a:r>
                  </a:p>
                </c:rich>
              </c:tx>
              <c:showLegendKey val="0"/>
              <c:showVal val="0"/>
              <c:showCatName val="1"/>
              <c:showSerName val="0"/>
              <c:showPercent val="1"/>
              <c:showBubbleSize val="0"/>
            </c:dLbl>
            <c:dLbl>
              <c:idx val="4"/>
              <c:layout/>
              <c:tx>
                <c:rich>
                  <a:bodyPr/>
                  <a:lstStyle/>
                  <a:p>
                    <a:r>
                      <a:rPr lang="en-US"/>
                      <a:t>Tangine
5%</a:t>
                    </a:r>
                  </a:p>
                </c:rich>
              </c:tx>
              <c:showLegendKey val="0"/>
              <c:showVal val="0"/>
              <c:showCatName val="1"/>
              <c:showSerName val="0"/>
              <c:showPercent val="1"/>
              <c:showBubbleSize val="0"/>
            </c:dLbl>
            <c:dLbl>
              <c:idx val="5"/>
              <c:layout/>
              <c:tx>
                <c:rich>
                  <a:bodyPr/>
                  <a:lstStyle/>
                  <a:p>
                    <a:r>
                      <a:rPr lang="en-US"/>
                      <a:t>EdTac Inc.
5%</a:t>
                    </a:r>
                  </a:p>
                </c:rich>
              </c:tx>
              <c:showLegendKey val="0"/>
              <c:showVal val="0"/>
              <c:showCatName val="1"/>
              <c:showSerName val="0"/>
              <c:showPercent val="1"/>
              <c:showBubbleSize val="0"/>
            </c:dLbl>
            <c:dLbl>
              <c:idx val="6"/>
              <c:layout>
                <c:manualLayout>
                  <c:x val="2.4955436720142605E-3"/>
                  <c:y val="5.0326713801146089E-2"/>
                </c:manualLayout>
              </c:layout>
              <c:tx>
                <c:rich>
                  <a:bodyPr/>
                  <a:lstStyle/>
                  <a:p>
                    <a:r>
                      <a:rPr lang="en-US"/>
                      <a:t>Rapitro, Inc.
5%</a:t>
                    </a:r>
                  </a:p>
                </c:rich>
              </c:tx>
              <c:showLegendKey val="0"/>
              <c:showVal val="0"/>
              <c:showCatName val="1"/>
              <c:showSerName val="0"/>
              <c:showPercent val="1"/>
              <c:showBubbleSize val="0"/>
            </c:dLbl>
            <c:dLbl>
              <c:idx val="7"/>
              <c:layout>
                <c:manualLayout>
                  <c:x val="5.9707777169565031E-4"/>
                  <c:y val="1.471911138717869E-2"/>
                </c:manualLayout>
              </c:layout>
              <c:tx>
                <c:rich>
                  <a:bodyPr/>
                  <a:lstStyle/>
                  <a:p>
                    <a:r>
                      <a:rPr lang="en-US"/>
                      <a:t>Presence Telecom
5%</a:t>
                    </a:r>
                  </a:p>
                </c:rich>
              </c:tx>
              <c:showLegendKey val="0"/>
              <c:showVal val="0"/>
              <c:showCatName val="1"/>
              <c:showSerName val="0"/>
              <c:showPercent val="1"/>
              <c:showBubbleSize val="0"/>
            </c:dLbl>
            <c:dLbl>
              <c:idx val="8"/>
              <c:layout/>
              <c:tx>
                <c:rich>
                  <a:bodyPr/>
                  <a:lstStyle/>
                  <a:p>
                    <a:r>
                      <a:rPr lang="en-US"/>
                      <a:t>Go</a:t>
                    </a:r>
                    <a:r>
                      <a:rPr lang="en-US" baseline="0"/>
                      <a:t> Now Tours</a:t>
                    </a:r>
                    <a:r>
                      <a:rPr lang="en-US"/>
                      <a:t>
5%</a:t>
                    </a:r>
                  </a:p>
                </c:rich>
              </c:tx>
              <c:showLegendKey val="0"/>
              <c:showVal val="0"/>
              <c:showCatName val="1"/>
              <c:showSerName val="0"/>
              <c:showPercent val="1"/>
              <c:showBubbleSize val="0"/>
            </c:dLbl>
            <c:dLbl>
              <c:idx val="9"/>
              <c:layout/>
              <c:tx>
                <c:rich>
                  <a:bodyPr/>
                  <a:lstStyle/>
                  <a:p>
                    <a:r>
                      <a:rPr lang="en-US"/>
                      <a:t>Creative</a:t>
                    </a:r>
                    <a:r>
                      <a:rPr lang="en-US" baseline="0"/>
                      <a:t> Comm Corp</a:t>
                    </a:r>
                    <a:r>
                      <a:rPr lang="en-US"/>
                      <a:t>
5%</a:t>
                    </a:r>
                  </a:p>
                </c:rich>
              </c:tx>
              <c:showLegendKey val="0"/>
              <c:showVal val="0"/>
              <c:showCatName val="1"/>
              <c:showSerName val="0"/>
              <c:showPercent val="1"/>
              <c:showBubbleSize val="0"/>
            </c:dLbl>
            <c:dLbl>
              <c:idx val="10"/>
              <c:layout>
                <c:manualLayout>
                  <c:x val="2.1373812230690414E-2"/>
                  <c:y val="2.2370730340841964E-2"/>
                </c:manualLayout>
              </c:layout>
              <c:tx>
                <c:rich>
                  <a:bodyPr/>
                  <a:lstStyle/>
                  <a:p>
                    <a:r>
                      <a:rPr lang="en-US"/>
                      <a:t>Bee Company
5%</a:t>
                    </a:r>
                  </a:p>
                </c:rich>
              </c:tx>
              <c:showLegendKey val="0"/>
              <c:showVal val="0"/>
              <c:showCatName val="1"/>
              <c:showSerName val="0"/>
              <c:showPercent val="1"/>
              <c:showBubbleSize val="0"/>
            </c:dLbl>
            <c:dLbl>
              <c:idx val="11"/>
              <c:layout>
                <c:manualLayout>
                  <c:x val="4.9673670470335593E-2"/>
                  <c:y val="5.0934468458264062E-2"/>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(95).xls]Sheet6'!$A$23:$A$34</c:f>
              <c:strCache>
                <c:ptCount val="12"/>
                <c:pt idx="0">
                  <c:v>bioMerieux, Inc</c:v>
                </c:pt>
                <c:pt idx="1">
                  <c:v>Northpoint Hospitality Group</c:v>
                </c:pt>
                <c:pt idx="2">
                  <c:v>The Coastal Bank</c:v>
                </c:pt>
                <c:pt idx="3">
                  <c:v>Chatham Area Transit Authority</c:v>
                </c:pt>
                <c:pt idx="4">
                  <c:v>Circa Lighting</c:v>
                </c:pt>
                <c:pt idx="5">
                  <c:v>Colonial Group,Inc.</c:v>
                </c:pt>
                <c:pt idx="6">
                  <c:v>Fram Renewable Fuels L.L.C.</c:v>
                </c:pt>
                <c:pt idx="7">
                  <c:v>HunterMaclean</c:v>
                </c:pt>
                <c:pt idx="8">
                  <c:v>JCB</c:v>
                </c:pt>
                <c:pt idx="9">
                  <c:v>JT Turner Construction</c:v>
                </c:pt>
                <c:pt idx="10">
                  <c:v>Savannah Bee Company</c:v>
                </c:pt>
                <c:pt idx="11">
                  <c:v>SouthCoast Medical Group</c:v>
                </c:pt>
              </c:strCache>
            </c:strRef>
          </c:cat>
          <c:val>
            <c:numRef>
              <c:f>'[ThinkHR Export (95).xls]Sheet6'!$B$23:$B$34</c:f>
              <c:numCache>
                <c:formatCode>General</c:formatCode>
                <c:ptCount val="12"/>
                <c:pt idx="0">
                  <c:v>1</c:v>
                </c:pt>
                <c:pt idx="1">
                  <c:v>7</c:v>
                </c:pt>
                <c:pt idx="2">
                  <c:v>3</c:v>
                </c:pt>
                <c:pt idx="3">
                  <c:v>1</c:v>
                </c:pt>
                <c:pt idx="4">
                  <c:v>1</c:v>
                </c:pt>
                <c:pt idx="5">
                  <c:v>1</c:v>
                </c:pt>
                <c:pt idx="6">
                  <c:v>1</c:v>
                </c:pt>
                <c:pt idx="7">
                  <c:v>1</c:v>
                </c:pt>
                <c:pt idx="8">
                  <c:v>1</c:v>
                </c:pt>
                <c:pt idx="9">
                  <c:v>1</c:v>
                </c:pt>
                <c:pt idx="10">
                  <c:v>1</c:v>
                </c:pt>
                <c:pt idx="11">
                  <c:v>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Broker </a:t>
            </a:r>
            <a:r>
              <a:rPr lang="en-US" baseline="0"/>
              <a:t>Hotline Usage by Category</a:t>
            </a:r>
            <a:endParaRPr lang="en-US"/>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'[ThinkHR Export (95).xls]Sheet2'!$B$1:$B$5</c:f>
              <c:strCache>
                <c:ptCount val="5"/>
                <c:pt idx="0">
                  <c:v>Employee Benefits</c:v>
                </c:pt>
                <c:pt idx="1">
                  <c:v>Compliance</c:v>
                </c:pt>
                <c:pt idx="2">
                  <c:v>Compensation</c:v>
                </c:pt>
                <c:pt idx="3">
                  <c:v>Leaves of Absence</c:v>
                </c:pt>
                <c:pt idx="4">
                  <c:v>Other</c:v>
                </c:pt>
              </c:strCache>
            </c:strRef>
          </c:cat>
          <c:val>
            <c:numRef>
              <c:f>'[ThinkHR Export (95).xls]Sheet2'!$C$1:$C$5</c:f>
              <c:numCache>
                <c:formatCode>General</c:formatCode>
                <c:ptCount val="5"/>
                <c:pt idx="0">
                  <c:v>52</c:v>
                </c:pt>
                <c:pt idx="1">
                  <c:v>6</c:v>
                </c:pt>
                <c:pt idx="2">
                  <c:v>2</c:v>
                </c:pt>
                <c:pt idx="3">
                  <c:v>2</c:v>
                </c:pt>
                <c:pt idx="4">
                  <c:v>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StoneTapert</a:t>
            </a:r>
            <a:r>
              <a:rPr lang="en-US" baseline="0"/>
              <a:t> &amp; Client HR Hotline Usage</a:t>
            </a:r>
            <a:endParaRPr lang="en-US"/>
          </a:p>
        </c:rich>
      </c:tx>
      <c:layout/>
      <c:overlay val="0"/>
    </c:title>
    <c:autoTitleDeleted val="0"/>
    <c:plotArea>
      <c:layout/>
      <c:pieChart>
        <c:varyColors val="1"/>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Broker</a:t>
            </a:r>
            <a:r>
              <a:rPr lang="en-US" baseline="0"/>
              <a:t> vs Client Hotline Usage</a:t>
            </a:r>
            <a:endParaRPr lang="en-US"/>
          </a:p>
        </c:rich>
      </c:tx>
      <c:layout/>
      <c:overlay val="0"/>
    </c:title>
    <c:autoTitleDeleted val="0"/>
    <c:plotArea>
      <c:layout/>
      <c:pieChart>
        <c:varyColors val="1"/>
        <c:ser>
          <c:idx val="0"/>
          <c:order val="0"/>
          <c:dLbls>
            <c:dLbl>
              <c:idx val="0"/>
              <c:layout/>
              <c:tx>
                <c:rich>
                  <a:bodyPr/>
                  <a:lstStyle/>
                  <a:p>
                    <a:r>
                      <a:rPr lang="en-US"/>
                      <a:t>Broker Partner
61%</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(95).xls]Sheet2'!$A$67:$A$68</c:f>
              <c:strCache>
                <c:ptCount val="2"/>
                <c:pt idx="0">
                  <c:v>Seacrest Partners</c:v>
                </c:pt>
                <c:pt idx="1">
                  <c:v>Clients</c:v>
                </c:pt>
              </c:strCache>
            </c:strRef>
          </c:cat>
          <c:val>
            <c:numRef>
              <c:f>'[ThinkHR Export (95).xls]Sheet2'!$B$67:$B$68</c:f>
              <c:numCache>
                <c:formatCode>General</c:formatCode>
                <c:ptCount val="2"/>
                <c:pt idx="0">
                  <c:v>63</c:v>
                </c:pt>
                <c:pt idx="1">
                  <c:v>40</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Broker Web Resources Usage by Category</a:t>
            </a: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'[ThinkHR Export (95).xls]Sheet2'!$A$71:$A$75</c:f>
              <c:strCache>
                <c:ptCount val="5"/>
                <c:pt idx="0">
                  <c:v>Employee Benefits</c:v>
                </c:pt>
                <c:pt idx="1">
                  <c:v>Forms, Policies &amp; Checklists</c:v>
                </c:pt>
                <c:pt idx="2">
                  <c:v>Resource Center</c:v>
                </c:pt>
                <c:pt idx="3">
                  <c:v>Salary Benchmarking</c:v>
                </c:pt>
                <c:pt idx="4">
                  <c:v>Job Description Builder</c:v>
                </c:pt>
              </c:strCache>
            </c:strRef>
          </c:cat>
          <c:val>
            <c:numRef>
              <c:f>'[ThinkHR Export (95).xls]Sheet2'!$B$71:$B$75</c:f>
              <c:numCache>
                <c:formatCode>General</c:formatCode>
                <c:ptCount val="5"/>
                <c:pt idx="0">
                  <c:v>80</c:v>
                </c:pt>
                <c:pt idx="1">
                  <c:v>40</c:v>
                </c:pt>
                <c:pt idx="2">
                  <c:v>10</c:v>
                </c:pt>
                <c:pt idx="3">
                  <c:v>7</c:v>
                </c:pt>
                <c:pt idx="4">
                  <c:v>5</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StoneTapert</a:t>
            </a:r>
            <a:r>
              <a:rPr lang="en-US" baseline="0"/>
              <a:t> &amp; Client HR Hotline Usage</a:t>
            </a:r>
            <a:endParaRPr lang="en-US"/>
          </a:p>
        </c:rich>
      </c:tx>
      <c:layout/>
      <c:overlay val="0"/>
    </c:title>
    <c:autoTitleDeleted val="0"/>
    <c:plotArea>
      <c:layout/>
      <c:pieChart>
        <c:varyColors val="1"/>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Broker vs</a:t>
            </a:r>
            <a:r>
              <a:rPr lang="en-US" baseline="0"/>
              <a:t> Client Web Resources Usage</a:t>
            </a:r>
            <a:endParaRPr lang="en-US"/>
          </a:p>
        </c:rich>
      </c:tx>
      <c:layout/>
      <c:overlay val="0"/>
    </c:title>
    <c:autoTitleDeleted val="0"/>
    <c:plotArea>
      <c:layout/>
      <c:pieChart>
        <c:varyColors val="1"/>
        <c:ser>
          <c:idx val="0"/>
          <c:order val="0"/>
          <c:dLbls>
            <c:dLbl>
              <c:idx val="0"/>
              <c:layout>
                <c:manualLayout>
                  <c:x val="-0.13282004856344828"/>
                  <c:y val="0.15109845823047863"/>
                </c:manualLayout>
              </c:layout>
              <c:tx>
                <c:rich>
                  <a:bodyPr/>
                  <a:lstStyle/>
                  <a:p>
                    <a:r>
                      <a:rPr lang="en-US"/>
                      <a:t>Broker
19%</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'[ThinkHR Export (95).xls]Sheet2'!$A$81:$A$82</c:f>
              <c:strCache>
                <c:ptCount val="2"/>
                <c:pt idx="0">
                  <c:v>Seacrest Partners</c:v>
                </c:pt>
                <c:pt idx="1">
                  <c:v>Clients</c:v>
                </c:pt>
              </c:strCache>
            </c:strRef>
          </c:cat>
          <c:val>
            <c:numRef>
              <c:f>'[ThinkHR Export (95).xls]Sheet2'!$B$81:$B$82</c:f>
              <c:numCache>
                <c:formatCode>General</c:formatCode>
                <c:ptCount val="2"/>
                <c:pt idx="0">
                  <c:v>102</c:v>
                </c:pt>
                <c:pt idx="1">
                  <c:v>422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a:t>StoneTapert</a:t>
            </a:r>
            <a:r>
              <a:rPr lang="en-US" baseline="0"/>
              <a:t> &amp; Client HR Hotline Usage</a:t>
            </a:r>
            <a:endParaRPr lang="en-US"/>
          </a:p>
        </c:rich>
      </c:tx>
      <c:layout/>
      <c:overlay val="0"/>
    </c:title>
    <c:autoTitleDeleted val="0"/>
    <c:plotArea>
      <c:layout/>
      <c:pieChart>
        <c:varyColors val="1"/>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580E4-6EDE-4830-A0AE-7C64FFF36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Boga</dc:creator>
  <cp:lastModifiedBy>Christine Roberson</cp:lastModifiedBy>
  <cp:revision>3</cp:revision>
  <cp:lastPrinted>2013-12-17T20:50:00Z</cp:lastPrinted>
  <dcterms:created xsi:type="dcterms:W3CDTF">2013-12-13T22:27:00Z</dcterms:created>
  <dcterms:modified xsi:type="dcterms:W3CDTF">2013-12-17T20:54:00Z</dcterms:modified>
</cp:coreProperties>
</file>