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360" w:type="dxa"/>
        <w:tblLayout w:type="fixed"/>
        <w:tblLook w:val="04A0" w:firstRow="1" w:lastRow="0" w:firstColumn="1" w:lastColumn="0" w:noHBand="0" w:noVBand="1"/>
      </w:tblPr>
      <w:tblGrid>
        <w:gridCol w:w="3798"/>
        <w:gridCol w:w="5562"/>
      </w:tblGrid>
      <w:tr w:rsidR="008E17AD" w:rsidRPr="00EB33A8" w:rsidTr="00EB33A8">
        <w:trPr>
          <w:tblHeader/>
        </w:trPr>
        <w:tc>
          <w:tcPr>
            <w:tcW w:w="9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17AD" w:rsidRPr="00EB33A8" w:rsidRDefault="008E17AD" w:rsidP="00EB33A8">
            <w:pPr>
              <w:spacing w:after="240"/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EB33A8">
              <w:rPr>
                <w:rFonts w:ascii="Calibri" w:hAnsi="Calibri"/>
                <w:b/>
                <w:sz w:val="28"/>
                <w:szCs w:val="28"/>
              </w:rPr>
              <w:t>Key Elements Table</w:t>
            </w:r>
          </w:p>
        </w:tc>
      </w:tr>
      <w:tr w:rsidR="00C52330" w:rsidTr="003018ED">
        <w:trPr>
          <w:tblHeader/>
        </w:trPr>
        <w:tc>
          <w:tcPr>
            <w:tcW w:w="3798" w:type="dxa"/>
            <w:tcBorders>
              <w:bottom w:val="single" w:sz="4" w:space="0" w:color="auto"/>
            </w:tcBorders>
            <w:shd w:val="clear" w:color="auto" w:fill="CCFFFF"/>
          </w:tcPr>
          <w:p w:rsidR="00C52330" w:rsidRPr="00C52330" w:rsidRDefault="00C52330">
            <w:pPr>
              <w:rPr>
                <w:rFonts w:ascii="Calibri" w:hAnsi="Calibri"/>
                <w:b/>
              </w:rPr>
            </w:pPr>
            <w:r w:rsidRPr="00C52330">
              <w:rPr>
                <w:rFonts w:ascii="Calibri" w:hAnsi="Calibri"/>
                <w:b/>
              </w:rPr>
              <w:t>Purpose</w:t>
            </w:r>
          </w:p>
        </w:tc>
        <w:tc>
          <w:tcPr>
            <w:tcW w:w="5562" w:type="dxa"/>
            <w:tcBorders>
              <w:bottom w:val="single" w:sz="4" w:space="0" w:color="auto"/>
            </w:tcBorders>
            <w:shd w:val="clear" w:color="auto" w:fill="CCFFFF"/>
          </w:tcPr>
          <w:p w:rsidR="00C52330" w:rsidRPr="00C52330" w:rsidRDefault="00C52330">
            <w:pPr>
              <w:rPr>
                <w:rFonts w:ascii="Calibri" w:hAnsi="Calibri"/>
                <w:b/>
              </w:rPr>
            </w:pPr>
            <w:r w:rsidRPr="00C52330">
              <w:rPr>
                <w:rFonts w:ascii="Calibri" w:hAnsi="Calibri"/>
                <w:b/>
              </w:rPr>
              <w:t>Specific Subjects for Consideration</w:t>
            </w:r>
          </w:p>
        </w:tc>
      </w:tr>
      <w:tr w:rsidR="00C52330" w:rsidTr="00C52330">
        <w:trPr>
          <w:trHeight w:val="432"/>
        </w:trPr>
        <w:tc>
          <w:tcPr>
            <w:tcW w:w="9360" w:type="dxa"/>
            <w:gridSpan w:val="2"/>
            <w:shd w:val="clear" w:color="auto" w:fill="CCFFCC"/>
            <w:vAlign w:val="center"/>
          </w:tcPr>
          <w:p w:rsidR="00C52330" w:rsidRPr="008E17AD" w:rsidRDefault="00C52330" w:rsidP="00285E82">
            <w:pPr>
              <w:jc w:val="center"/>
              <w:rPr>
                <w:i/>
                <w:szCs w:val="24"/>
              </w:rPr>
            </w:pPr>
            <w:r w:rsidRPr="008E17AD">
              <w:rPr>
                <w:rFonts w:ascii="Calibri" w:eastAsia="Times New Roman" w:hAnsi="Calibri" w:cs="Times New Roman"/>
                <w:b/>
                <w:bCs/>
                <w:i/>
                <w:szCs w:val="24"/>
                <w:lang w:eastAsia="en-US"/>
              </w:rPr>
              <w:t xml:space="preserve">Purpose of the </w:t>
            </w:r>
            <w:r w:rsidR="00285E82">
              <w:rPr>
                <w:rFonts w:ascii="Calibri" w:eastAsia="Times New Roman" w:hAnsi="Calibri" w:cs="Times New Roman"/>
                <w:b/>
                <w:bCs/>
                <w:i/>
                <w:szCs w:val="24"/>
                <w:lang w:eastAsia="en-US"/>
              </w:rPr>
              <w:t>R</w:t>
            </w:r>
            <w:r w:rsidRPr="008E17AD">
              <w:rPr>
                <w:rFonts w:ascii="Calibri" w:eastAsia="Times New Roman" w:hAnsi="Calibri" w:cs="Times New Roman"/>
                <w:b/>
                <w:bCs/>
                <w:i/>
                <w:szCs w:val="24"/>
                <w:lang w:eastAsia="en-US"/>
              </w:rPr>
              <w:t xml:space="preserve">esearcher </w:t>
            </w:r>
            <w:r w:rsidR="00285E82">
              <w:rPr>
                <w:rFonts w:ascii="Calibri" w:eastAsia="Times New Roman" w:hAnsi="Calibri" w:cs="Times New Roman"/>
                <w:b/>
                <w:bCs/>
                <w:i/>
                <w:szCs w:val="24"/>
                <w:lang w:eastAsia="en-US"/>
              </w:rPr>
              <w:t>V</w:t>
            </w:r>
            <w:r w:rsidRPr="008E17AD">
              <w:rPr>
                <w:rFonts w:ascii="Calibri" w:eastAsia="Times New Roman" w:hAnsi="Calibri" w:cs="Times New Roman"/>
                <w:b/>
                <w:bCs/>
                <w:i/>
                <w:szCs w:val="24"/>
                <w:lang w:eastAsia="en-US"/>
              </w:rPr>
              <w:t>isit</w:t>
            </w:r>
          </w:p>
        </w:tc>
      </w:tr>
      <w:tr w:rsidR="00042D6D" w:rsidTr="00042D6D">
        <w:tc>
          <w:tcPr>
            <w:tcW w:w="3798" w:type="dxa"/>
            <w:vMerge w:val="restart"/>
            <w:vAlign w:val="center"/>
          </w:tcPr>
          <w:p w:rsidR="00042D6D" w:rsidRDefault="00042D6D" w:rsidP="00042D6D">
            <w:r w:rsidRPr="00C52330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Value proposition, what is the benefit for research exchange to the parent entity?</w:t>
            </w:r>
          </w:p>
        </w:tc>
        <w:tc>
          <w:tcPr>
            <w:tcW w:w="5562" w:type="dxa"/>
          </w:tcPr>
          <w:p w:rsidR="00042D6D" w:rsidRDefault="00042D6D">
            <w:r w:rsidRPr="00C52330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Expectations - what are the interests of the sending and receiving institutions</w:t>
            </w:r>
          </w:p>
        </w:tc>
      </w:tr>
      <w:tr w:rsidR="00042D6D" w:rsidTr="00042D6D">
        <w:tc>
          <w:tcPr>
            <w:tcW w:w="3798" w:type="dxa"/>
            <w:vMerge/>
          </w:tcPr>
          <w:p w:rsidR="00042D6D" w:rsidRDefault="00042D6D"/>
        </w:tc>
        <w:tc>
          <w:tcPr>
            <w:tcW w:w="5562" w:type="dxa"/>
          </w:tcPr>
          <w:p w:rsidR="00042D6D" w:rsidRDefault="00042D6D">
            <w:r w:rsidRPr="00C52330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Deliverables</w:t>
            </w:r>
          </w:p>
        </w:tc>
      </w:tr>
      <w:tr w:rsidR="00042D6D" w:rsidTr="00042D6D">
        <w:tc>
          <w:tcPr>
            <w:tcW w:w="3798" w:type="dxa"/>
            <w:vMerge/>
          </w:tcPr>
          <w:p w:rsidR="00042D6D" w:rsidRDefault="00042D6D"/>
        </w:tc>
        <w:tc>
          <w:tcPr>
            <w:tcW w:w="5562" w:type="dxa"/>
          </w:tcPr>
          <w:p w:rsidR="00042D6D" w:rsidRDefault="00042D6D">
            <w:r w:rsidRPr="00C52330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Who does the researcher work for?</w:t>
            </w:r>
          </w:p>
        </w:tc>
      </w:tr>
      <w:tr w:rsidR="00042D6D" w:rsidTr="00042D6D">
        <w:tc>
          <w:tcPr>
            <w:tcW w:w="3798" w:type="dxa"/>
            <w:vMerge/>
          </w:tcPr>
          <w:p w:rsidR="00042D6D" w:rsidRDefault="00042D6D"/>
        </w:tc>
        <w:tc>
          <w:tcPr>
            <w:tcW w:w="5562" w:type="dxa"/>
          </w:tcPr>
          <w:p w:rsidR="00042D6D" w:rsidRDefault="00042D6D">
            <w:r w:rsidRPr="00C52330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Sponsorship / mentorship (identifying the sponsor within the institution, sponsor succession planning [if sponsor leaves their duty])</w:t>
            </w:r>
          </w:p>
        </w:tc>
      </w:tr>
      <w:tr w:rsidR="00042D6D" w:rsidTr="00042D6D">
        <w:tc>
          <w:tcPr>
            <w:tcW w:w="3798" w:type="dxa"/>
            <w:vMerge/>
            <w:tcBorders>
              <w:bottom w:val="single" w:sz="4" w:space="0" w:color="auto"/>
            </w:tcBorders>
          </w:tcPr>
          <w:p w:rsidR="00042D6D" w:rsidRDefault="00042D6D"/>
        </w:tc>
        <w:tc>
          <w:tcPr>
            <w:tcW w:w="5562" w:type="dxa"/>
            <w:tcBorders>
              <w:bottom w:val="single" w:sz="4" w:space="0" w:color="auto"/>
            </w:tcBorders>
          </w:tcPr>
          <w:p w:rsidR="00042D6D" w:rsidRDefault="00042D6D">
            <w:r w:rsidRPr="00C52330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One-time or umbrella agreements (continuing the relationship beyond the one researcher visit)</w:t>
            </w:r>
          </w:p>
        </w:tc>
      </w:tr>
      <w:tr w:rsidR="008E17AD" w:rsidTr="008E17AD">
        <w:trPr>
          <w:trHeight w:val="432"/>
        </w:trPr>
        <w:tc>
          <w:tcPr>
            <w:tcW w:w="9360" w:type="dxa"/>
            <w:gridSpan w:val="2"/>
            <w:shd w:val="clear" w:color="auto" w:fill="CCFFCC"/>
            <w:vAlign w:val="center"/>
          </w:tcPr>
          <w:p w:rsidR="008E17AD" w:rsidRPr="008E17AD" w:rsidRDefault="008E17AD" w:rsidP="008E17AD">
            <w:pPr>
              <w:jc w:val="center"/>
              <w:rPr>
                <w:i/>
                <w:szCs w:val="24"/>
              </w:rPr>
            </w:pPr>
            <w:r>
              <w:rPr>
                <w:rFonts w:ascii="Calibri" w:eastAsia="Times New Roman" w:hAnsi="Calibri" w:cs="Times New Roman"/>
                <w:b/>
                <w:bCs/>
                <w:i/>
                <w:szCs w:val="24"/>
                <w:lang w:eastAsia="en-US"/>
              </w:rPr>
              <w:t>IP</w:t>
            </w:r>
          </w:p>
        </w:tc>
      </w:tr>
      <w:tr w:rsidR="00042D6D" w:rsidTr="00042D6D">
        <w:tc>
          <w:tcPr>
            <w:tcW w:w="3798" w:type="dxa"/>
            <w:vMerge w:val="restart"/>
            <w:vAlign w:val="center"/>
          </w:tcPr>
          <w:p w:rsidR="00042D6D" w:rsidRPr="008E17AD" w:rsidRDefault="00042D6D" w:rsidP="00042D6D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8E17AD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Establish framework for handling IP</w:t>
            </w:r>
          </w:p>
        </w:tc>
        <w:tc>
          <w:tcPr>
            <w:tcW w:w="5562" w:type="dxa"/>
          </w:tcPr>
          <w:p w:rsidR="00042D6D" w:rsidRPr="008E17AD" w:rsidRDefault="00042D6D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8E17AD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Aspects of background IP, foreground IP (tangible / intangible), license arrangements</w:t>
            </w:r>
          </w:p>
        </w:tc>
      </w:tr>
      <w:tr w:rsidR="00042D6D" w:rsidTr="00042D6D">
        <w:tc>
          <w:tcPr>
            <w:tcW w:w="3798" w:type="dxa"/>
            <w:vMerge/>
          </w:tcPr>
          <w:p w:rsidR="00042D6D" w:rsidRPr="008E17AD" w:rsidRDefault="00042D6D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5562" w:type="dxa"/>
          </w:tcPr>
          <w:p w:rsidR="00042D6D" w:rsidRPr="008E17AD" w:rsidRDefault="00042D6D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8E17AD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Handling of trade secrets and confidential info</w:t>
            </w:r>
          </w:p>
        </w:tc>
      </w:tr>
      <w:tr w:rsidR="00042D6D" w:rsidTr="00042D6D">
        <w:tc>
          <w:tcPr>
            <w:tcW w:w="3798" w:type="dxa"/>
            <w:vMerge/>
          </w:tcPr>
          <w:p w:rsidR="00042D6D" w:rsidRPr="008E17AD" w:rsidRDefault="00042D6D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5562" w:type="dxa"/>
          </w:tcPr>
          <w:p w:rsidR="00042D6D" w:rsidRPr="008E17AD" w:rsidRDefault="00042D6D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Data exchange</w:t>
            </w:r>
          </w:p>
        </w:tc>
      </w:tr>
      <w:tr w:rsidR="00042D6D" w:rsidTr="00042D6D">
        <w:tc>
          <w:tcPr>
            <w:tcW w:w="3798" w:type="dxa"/>
            <w:vMerge/>
          </w:tcPr>
          <w:p w:rsidR="00042D6D" w:rsidRPr="008E17AD" w:rsidRDefault="00042D6D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5562" w:type="dxa"/>
          </w:tcPr>
          <w:p w:rsidR="00042D6D" w:rsidRPr="008E17AD" w:rsidRDefault="00042D6D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Copyrights</w:t>
            </w:r>
          </w:p>
        </w:tc>
      </w:tr>
      <w:tr w:rsidR="008E17AD" w:rsidTr="008E17AD">
        <w:trPr>
          <w:trHeight w:val="432"/>
        </w:trPr>
        <w:tc>
          <w:tcPr>
            <w:tcW w:w="9360" w:type="dxa"/>
            <w:gridSpan w:val="2"/>
            <w:shd w:val="clear" w:color="auto" w:fill="CCFFCC"/>
            <w:vAlign w:val="center"/>
          </w:tcPr>
          <w:p w:rsidR="008E17AD" w:rsidRPr="008E17AD" w:rsidRDefault="008E17AD" w:rsidP="008E17AD">
            <w:pPr>
              <w:jc w:val="center"/>
              <w:rPr>
                <w:i/>
                <w:szCs w:val="24"/>
              </w:rPr>
            </w:pPr>
            <w:r>
              <w:rPr>
                <w:rFonts w:ascii="Calibri" w:eastAsia="Times New Roman" w:hAnsi="Calibri" w:cs="Times New Roman"/>
                <w:b/>
                <w:bCs/>
                <w:i/>
                <w:szCs w:val="24"/>
                <w:lang w:eastAsia="en-US"/>
              </w:rPr>
              <w:t>Confidentiality</w:t>
            </w:r>
          </w:p>
        </w:tc>
      </w:tr>
      <w:tr w:rsidR="00EB33A8" w:rsidTr="00EB33A8">
        <w:tc>
          <w:tcPr>
            <w:tcW w:w="3798" w:type="dxa"/>
            <w:vMerge w:val="restart"/>
            <w:vAlign w:val="center"/>
          </w:tcPr>
          <w:p w:rsidR="00EB33A8" w:rsidRPr="008E17AD" w:rsidRDefault="00EB33A8" w:rsidP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042D6D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Manage expectations</w:t>
            </w:r>
          </w:p>
        </w:tc>
        <w:tc>
          <w:tcPr>
            <w:tcW w:w="5562" w:type="dxa"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042D6D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Identification and treatment of confidential information</w:t>
            </w:r>
          </w:p>
        </w:tc>
      </w:tr>
      <w:tr w:rsidR="00EB33A8" w:rsidTr="00042D6D">
        <w:tc>
          <w:tcPr>
            <w:tcW w:w="3798" w:type="dxa"/>
            <w:vMerge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5562" w:type="dxa"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042D6D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Non-disclosures</w:t>
            </w:r>
          </w:p>
        </w:tc>
      </w:tr>
      <w:tr w:rsidR="00EB33A8" w:rsidTr="00042D6D">
        <w:tc>
          <w:tcPr>
            <w:tcW w:w="3798" w:type="dxa"/>
            <w:vMerge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5562" w:type="dxa"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proofErr w:type="spellStart"/>
            <w:r w:rsidRPr="00042D6D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Releasability</w:t>
            </w:r>
            <w:proofErr w:type="spellEnd"/>
            <w:r w:rsidRPr="00042D6D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 xml:space="preserve"> of publications / presentations</w:t>
            </w:r>
          </w:p>
        </w:tc>
      </w:tr>
      <w:tr w:rsidR="00EB33A8" w:rsidTr="00042D6D">
        <w:tc>
          <w:tcPr>
            <w:tcW w:w="3798" w:type="dxa"/>
            <w:vMerge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5562" w:type="dxa"/>
          </w:tcPr>
          <w:p w:rsidR="00EB33A8" w:rsidRPr="008E17AD" w:rsidRDefault="00EB33A8" w:rsidP="00042D6D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042D6D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3</w:t>
            </w:r>
            <w:r w:rsidRPr="00042D6D">
              <w:rPr>
                <w:rFonts w:ascii="Calibri" w:eastAsia="Times New Roman" w:hAnsi="Calibri" w:cs="Times New Roman"/>
                <w:color w:val="000000"/>
                <w:sz w:val="20"/>
                <w:vertAlign w:val="superscript"/>
                <w:lang w:eastAsia="en-US"/>
              </w:rPr>
              <w:t>rd</w:t>
            </w:r>
            <w: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 xml:space="preserve"> </w:t>
            </w:r>
            <w:r w:rsidRPr="00042D6D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party materials and obligations</w:t>
            </w:r>
          </w:p>
        </w:tc>
      </w:tr>
      <w:tr w:rsidR="00042D6D" w:rsidTr="00042D6D">
        <w:trPr>
          <w:trHeight w:val="432"/>
        </w:trPr>
        <w:tc>
          <w:tcPr>
            <w:tcW w:w="9360" w:type="dxa"/>
            <w:gridSpan w:val="2"/>
            <w:shd w:val="clear" w:color="auto" w:fill="CCFFCC"/>
            <w:vAlign w:val="center"/>
          </w:tcPr>
          <w:p w:rsidR="00042D6D" w:rsidRPr="008E17AD" w:rsidRDefault="00042D6D" w:rsidP="00042D6D">
            <w:pPr>
              <w:jc w:val="center"/>
              <w:rPr>
                <w:i/>
                <w:szCs w:val="24"/>
              </w:rPr>
            </w:pPr>
            <w:r>
              <w:rPr>
                <w:rFonts w:ascii="Calibri" w:eastAsia="Times New Roman" w:hAnsi="Calibri" w:cs="Times New Roman"/>
                <w:b/>
                <w:bCs/>
                <w:i/>
                <w:szCs w:val="24"/>
                <w:lang w:eastAsia="en-US"/>
              </w:rPr>
              <w:t>Liability/Indemnification</w:t>
            </w:r>
          </w:p>
        </w:tc>
      </w:tr>
      <w:tr w:rsidR="00EB33A8" w:rsidTr="00EB33A8">
        <w:tc>
          <w:tcPr>
            <w:tcW w:w="3798" w:type="dxa"/>
            <w:vMerge w:val="restart"/>
            <w:vAlign w:val="center"/>
          </w:tcPr>
          <w:p w:rsidR="00EB33A8" w:rsidRPr="008E17AD" w:rsidRDefault="00EB33A8" w:rsidP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042D6D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Ensure understanding of liability</w:t>
            </w:r>
          </w:p>
        </w:tc>
        <w:tc>
          <w:tcPr>
            <w:tcW w:w="5562" w:type="dxa"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042D6D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Liability issues regarding performance of the researcher visit</w:t>
            </w:r>
          </w:p>
        </w:tc>
      </w:tr>
      <w:tr w:rsidR="00EB33A8" w:rsidTr="00042D6D">
        <w:tc>
          <w:tcPr>
            <w:tcW w:w="3798" w:type="dxa"/>
            <w:vMerge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5562" w:type="dxa"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042D6D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General and lab safety procedures</w:t>
            </w:r>
          </w:p>
        </w:tc>
      </w:tr>
      <w:tr w:rsidR="00EB33A8" w:rsidTr="00042D6D">
        <w:tc>
          <w:tcPr>
            <w:tcW w:w="3798" w:type="dxa"/>
            <w:vMerge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5562" w:type="dxa"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042D6D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Institutional policies and procedures</w:t>
            </w:r>
          </w:p>
        </w:tc>
      </w:tr>
      <w:tr w:rsidR="00042D6D" w:rsidTr="00042D6D">
        <w:trPr>
          <w:trHeight w:val="432"/>
        </w:trPr>
        <w:tc>
          <w:tcPr>
            <w:tcW w:w="9360" w:type="dxa"/>
            <w:gridSpan w:val="2"/>
            <w:shd w:val="clear" w:color="auto" w:fill="CCFFCC"/>
            <w:vAlign w:val="center"/>
          </w:tcPr>
          <w:p w:rsidR="00042D6D" w:rsidRPr="008E17AD" w:rsidRDefault="00042D6D" w:rsidP="00042D6D">
            <w:pPr>
              <w:jc w:val="center"/>
              <w:rPr>
                <w:i/>
                <w:szCs w:val="24"/>
              </w:rPr>
            </w:pPr>
            <w:r>
              <w:rPr>
                <w:rFonts w:ascii="Calibri" w:eastAsia="Times New Roman" w:hAnsi="Calibri" w:cs="Times New Roman"/>
                <w:b/>
                <w:bCs/>
                <w:i/>
                <w:szCs w:val="24"/>
                <w:lang w:eastAsia="en-US"/>
              </w:rPr>
              <w:t>Security</w:t>
            </w:r>
          </w:p>
        </w:tc>
      </w:tr>
      <w:tr w:rsidR="00EB33A8" w:rsidTr="00EB33A8">
        <w:tc>
          <w:tcPr>
            <w:tcW w:w="3798" w:type="dxa"/>
            <w:vMerge w:val="restart"/>
            <w:vAlign w:val="center"/>
          </w:tcPr>
          <w:p w:rsidR="00EB33A8" w:rsidRPr="008E17AD" w:rsidRDefault="00EB33A8" w:rsidP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042D6D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Awareness of U.S. and international security considerations and institutional operating procedures</w:t>
            </w:r>
          </w:p>
        </w:tc>
        <w:tc>
          <w:tcPr>
            <w:tcW w:w="5562" w:type="dxa"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EB33A8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 xml:space="preserve">Right to work (ITAR, EAR </w:t>
            </w:r>
            <w:proofErr w:type="spellStart"/>
            <w:r w:rsidRPr="00EB33A8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vs</w:t>
            </w:r>
            <w:proofErr w:type="spellEnd"/>
            <w:r w:rsidRPr="00EB33A8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 xml:space="preserve"> FRE, classified research, use of university-affiliated organization e.g. foundation)</w:t>
            </w:r>
          </w:p>
        </w:tc>
      </w:tr>
      <w:tr w:rsidR="00EB33A8" w:rsidTr="00042D6D">
        <w:tc>
          <w:tcPr>
            <w:tcW w:w="3798" w:type="dxa"/>
            <w:vMerge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5562" w:type="dxa"/>
          </w:tcPr>
          <w:p w:rsidR="00EB33A8" w:rsidRPr="008E17AD" w:rsidRDefault="00EB33A8" w:rsidP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Export Control</w:t>
            </w:r>
          </w:p>
        </w:tc>
      </w:tr>
      <w:tr w:rsidR="00EB33A8" w:rsidTr="00042D6D">
        <w:tc>
          <w:tcPr>
            <w:tcW w:w="3798" w:type="dxa"/>
            <w:vMerge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5562" w:type="dxa"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EB33A8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Visa / Citizenship vs. non-resident</w:t>
            </w:r>
          </w:p>
        </w:tc>
      </w:tr>
      <w:tr w:rsidR="00EB33A8" w:rsidTr="00042D6D">
        <w:tc>
          <w:tcPr>
            <w:tcW w:w="3798" w:type="dxa"/>
            <w:vMerge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5562" w:type="dxa"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EB33A8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Controlled Commerce List</w:t>
            </w:r>
          </w:p>
        </w:tc>
      </w:tr>
      <w:tr w:rsidR="00EB33A8" w:rsidTr="00EB33A8">
        <w:trPr>
          <w:trHeight w:val="432"/>
        </w:trPr>
        <w:tc>
          <w:tcPr>
            <w:tcW w:w="9360" w:type="dxa"/>
            <w:gridSpan w:val="2"/>
            <w:shd w:val="clear" w:color="auto" w:fill="CCFFCC"/>
            <w:vAlign w:val="center"/>
          </w:tcPr>
          <w:p w:rsidR="00EB33A8" w:rsidRPr="008E17AD" w:rsidRDefault="00EB33A8" w:rsidP="00EB33A8">
            <w:pPr>
              <w:jc w:val="center"/>
              <w:rPr>
                <w:i/>
                <w:szCs w:val="24"/>
              </w:rPr>
            </w:pPr>
            <w:r>
              <w:rPr>
                <w:rFonts w:ascii="Calibri" w:eastAsia="Times New Roman" w:hAnsi="Calibri" w:cs="Times New Roman"/>
                <w:b/>
                <w:bCs/>
                <w:i/>
                <w:szCs w:val="24"/>
                <w:lang w:eastAsia="en-US"/>
              </w:rPr>
              <w:t>Financial Considerations</w:t>
            </w:r>
          </w:p>
        </w:tc>
      </w:tr>
      <w:tr w:rsidR="00EB33A8" w:rsidTr="00EB33A8">
        <w:tc>
          <w:tcPr>
            <w:tcW w:w="3798" w:type="dxa"/>
            <w:vMerge w:val="restart"/>
            <w:vAlign w:val="center"/>
          </w:tcPr>
          <w:p w:rsidR="00EB33A8" w:rsidRPr="008E17AD" w:rsidRDefault="00EB33A8" w:rsidP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EB33A8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To clarify expectations about financial and reporting obligations that result from the researcher visit</w:t>
            </w:r>
          </w:p>
        </w:tc>
        <w:tc>
          <w:tcPr>
            <w:tcW w:w="5562" w:type="dxa"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EB33A8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Financial support for visit (travel, per diem, insurance, relocation costs)</w:t>
            </w:r>
          </w:p>
        </w:tc>
      </w:tr>
      <w:tr w:rsidR="00EB33A8" w:rsidTr="00042D6D">
        <w:tc>
          <w:tcPr>
            <w:tcW w:w="3798" w:type="dxa"/>
            <w:vMerge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5562" w:type="dxa"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EB33A8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Tax compliance</w:t>
            </w:r>
          </w:p>
        </w:tc>
      </w:tr>
      <w:tr w:rsidR="00EB33A8" w:rsidTr="00042D6D">
        <w:tc>
          <w:tcPr>
            <w:tcW w:w="3798" w:type="dxa"/>
            <w:vMerge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5562" w:type="dxa"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EB33A8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Time and Effort reporting</w:t>
            </w:r>
          </w:p>
        </w:tc>
      </w:tr>
      <w:tr w:rsidR="00EB33A8" w:rsidTr="00EB33A8">
        <w:trPr>
          <w:trHeight w:val="432"/>
        </w:trPr>
        <w:tc>
          <w:tcPr>
            <w:tcW w:w="9360" w:type="dxa"/>
            <w:gridSpan w:val="2"/>
            <w:shd w:val="clear" w:color="auto" w:fill="CCFFCC"/>
            <w:vAlign w:val="center"/>
          </w:tcPr>
          <w:p w:rsidR="00EB33A8" w:rsidRDefault="00EB33A8" w:rsidP="00EB33A8">
            <w:pPr>
              <w:jc w:val="center"/>
              <w:rPr>
                <w:rFonts w:ascii="Calibri" w:eastAsia="Times New Roman" w:hAnsi="Calibri" w:cs="Times New Roman"/>
                <w:b/>
                <w:bCs/>
                <w:i/>
                <w:szCs w:val="24"/>
                <w:lang w:eastAsia="en-US"/>
              </w:rPr>
            </w:pPr>
            <w:r w:rsidRPr="00EB33A8">
              <w:rPr>
                <w:rFonts w:ascii="Calibri" w:eastAsia="Times New Roman" w:hAnsi="Calibri" w:cs="Times New Roman"/>
                <w:b/>
                <w:bCs/>
                <w:i/>
                <w:szCs w:val="24"/>
                <w:lang w:eastAsia="en-US"/>
              </w:rPr>
              <w:t>Adminis</w:t>
            </w:r>
            <w:r>
              <w:rPr>
                <w:rFonts w:ascii="Calibri" w:eastAsia="Times New Roman" w:hAnsi="Calibri" w:cs="Times New Roman"/>
                <w:b/>
                <w:bCs/>
                <w:i/>
                <w:szCs w:val="24"/>
                <w:lang w:eastAsia="en-US"/>
              </w:rPr>
              <w:t>trative Vehicle for the Visit</w:t>
            </w:r>
          </w:p>
          <w:p w:rsidR="00EB33A8" w:rsidRPr="00285E82" w:rsidRDefault="00285E82" w:rsidP="00EB33A8">
            <w:pPr>
              <w:jc w:val="center"/>
              <w:rPr>
                <w:i/>
                <w:sz w:val="20"/>
              </w:rPr>
            </w:pPr>
            <w:r w:rsidRPr="00285E82">
              <w:rPr>
                <w:rFonts w:ascii="Calibri" w:eastAsia="Times New Roman" w:hAnsi="Calibri" w:cs="Times New Roman"/>
                <w:b/>
                <w:bCs/>
                <w:i/>
                <w:sz w:val="20"/>
                <w:lang w:eastAsia="en-US"/>
              </w:rPr>
              <w:t>(</w:t>
            </w:r>
            <w:r w:rsidR="00EB33A8" w:rsidRPr="00285E82">
              <w:rPr>
                <w:rFonts w:ascii="Calibri" w:eastAsia="Times New Roman" w:hAnsi="Calibri" w:cs="Times New Roman"/>
                <w:b/>
                <w:bCs/>
                <w:i/>
                <w:sz w:val="20"/>
                <w:lang w:eastAsia="en-US"/>
              </w:rPr>
              <w:t>e.g., contracts, Cooperative Agreement, Visiting Scientist Agreement</w:t>
            </w:r>
            <w:r w:rsidRPr="00285E82">
              <w:rPr>
                <w:rFonts w:ascii="Calibri" w:eastAsia="Times New Roman" w:hAnsi="Calibri" w:cs="Times New Roman"/>
                <w:b/>
                <w:bCs/>
                <w:i/>
                <w:sz w:val="20"/>
                <w:lang w:eastAsia="en-US"/>
              </w:rPr>
              <w:t>)</w:t>
            </w:r>
          </w:p>
        </w:tc>
      </w:tr>
      <w:tr w:rsidR="00EB33A8" w:rsidTr="00EB33A8">
        <w:tc>
          <w:tcPr>
            <w:tcW w:w="3798" w:type="dxa"/>
            <w:vMerge w:val="restart"/>
            <w:vAlign w:val="center"/>
          </w:tcPr>
          <w:p w:rsidR="00EB33A8" w:rsidRPr="008E17AD" w:rsidRDefault="00EB33A8" w:rsidP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EB33A8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To determine the proper contractual vehicle and associated agreement management</w:t>
            </w:r>
          </w:p>
        </w:tc>
        <w:tc>
          <w:tcPr>
            <w:tcW w:w="5562" w:type="dxa"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EB33A8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Agreement name</w:t>
            </w:r>
          </w:p>
        </w:tc>
      </w:tr>
      <w:tr w:rsidR="00EB33A8" w:rsidTr="00042D6D">
        <w:tc>
          <w:tcPr>
            <w:tcW w:w="3798" w:type="dxa"/>
            <w:vMerge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5562" w:type="dxa"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EB33A8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Signature requirements / authority</w:t>
            </w:r>
          </w:p>
        </w:tc>
      </w:tr>
      <w:tr w:rsidR="00EB33A8" w:rsidTr="00042D6D">
        <w:tc>
          <w:tcPr>
            <w:tcW w:w="3798" w:type="dxa"/>
            <w:vMerge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5562" w:type="dxa"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EB33A8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Applicable Laws</w:t>
            </w:r>
          </w:p>
        </w:tc>
      </w:tr>
      <w:tr w:rsidR="00EB33A8" w:rsidTr="00042D6D">
        <w:tc>
          <w:tcPr>
            <w:tcW w:w="3798" w:type="dxa"/>
            <w:vMerge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5562" w:type="dxa"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EB33A8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Termination of the agreemen</w:t>
            </w:r>
            <w: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t</w:t>
            </w:r>
          </w:p>
        </w:tc>
      </w:tr>
      <w:tr w:rsidR="00EB33A8" w:rsidTr="00042D6D">
        <w:tc>
          <w:tcPr>
            <w:tcW w:w="3798" w:type="dxa"/>
            <w:vMerge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5562" w:type="dxa"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EB33A8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Specific authorities</w:t>
            </w:r>
          </w:p>
        </w:tc>
      </w:tr>
      <w:tr w:rsidR="00EB33A8" w:rsidTr="00042D6D">
        <w:tc>
          <w:tcPr>
            <w:tcW w:w="3798" w:type="dxa"/>
            <w:vMerge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5562" w:type="dxa"/>
          </w:tcPr>
          <w:p w:rsidR="00EB33A8" w:rsidRPr="008E17AD" w:rsidRDefault="00EB33A8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EB33A8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Reporting requirements</w:t>
            </w:r>
          </w:p>
        </w:tc>
      </w:tr>
      <w:tr w:rsidR="00285E82" w:rsidTr="00285E82">
        <w:trPr>
          <w:trHeight w:val="432"/>
        </w:trPr>
        <w:tc>
          <w:tcPr>
            <w:tcW w:w="9360" w:type="dxa"/>
            <w:gridSpan w:val="2"/>
            <w:shd w:val="clear" w:color="auto" w:fill="CCFFCC"/>
            <w:vAlign w:val="center"/>
          </w:tcPr>
          <w:p w:rsidR="00285E82" w:rsidRPr="008E17AD" w:rsidRDefault="00285E82" w:rsidP="00285E82">
            <w:pPr>
              <w:jc w:val="center"/>
              <w:rPr>
                <w:i/>
                <w:szCs w:val="24"/>
              </w:rPr>
            </w:pPr>
            <w:r>
              <w:rPr>
                <w:rFonts w:ascii="Calibri" w:eastAsia="Times New Roman" w:hAnsi="Calibri" w:cs="Times New Roman"/>
                <w:b/>
                <w:bCs/>
                <w:i/>
                <w:szCs w:val="24"/>
                <w:lang w:eastAsia="en-US"/>
              </w:rPr>
              <w:t>Cultural Expectations / Norms</w:t>
            </w:r>
          </w:p>
        </w:tc>
      </w:tr>
      <w:tr w:rsidR="00285E82" w:rsidTr="00285E82">
        <w:tc>
          <w:tcPr>
            <w:tcW w:w="3798" w:type="dxa"/>
            <w:vMerge w:val="restart"/>
            <w:vAlign w:val="center"/>
          </w:tcPr>
          <w:p w:rsidR="00285E82" w:rsidRPr="008E17AD" w:rsidRDefault="00285E82" w:rsidP="00285E82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285E82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To be aware of and experience cultural differences between academic and industry cultural environments</w:t>
            </w:r>
          </w:p>
        </w:tc>
        <w:tc>
          <w:tcPr>
            <w:tcW w:w="5562" w:type="dxa"/>
          </w:tcPr>
          <w:p w:rsidR="00285E82" w:rsidRPr="008E17AD" w:rsidRDefault="00285E82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285E82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Business etiquette (dress code, hours, meetings, scheduling, vocabulary, email etiquette)</w:t>
            </w:r>
          </w:p>
        </w:tc>
      </w:tr>
      <w:tr w:rsidR="00285E82" w:rsidTr="00042D6D">
        <w:tc>
          <w:tcPr>
            <w:tcW w:w="3798" w:type="dxa"/>
            <w:vMerge/>
          </w:tcPr>
          <w:p w:rsidR="00285E82" w:rsidRPr="008E17AD" w:rsidRDefault="00285E82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5562" w:type="dxa"/>
          </w:tcPr>
          <w:p w:rsidR="00285E82" w:rsidRPr="008E17AD" w:rsidRDefault="00285E82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285E82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Understanding organizational politics (cultural differences)</w:t>
            </w:r>
          </w:p>
        </w:tc>
      </w:tr>
      <w:tr w:rsidR="00285E82" w:rsidTr="00042D6D">
        <w:tc>
          <w:tcPr>
            <w:tcW w:w="3798" w:type="dxa"/>
            <w:vMerge/>
          </w:tcPr>
          <w:p w:rsidR="00285E82" w:rsidRPr="008E17AD" w:rsidRDefault="00285E82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5562" w:type="dxa"/>
          </w:tcPr>
          <w:p w:rsidR="00285E82" w:rsidRPr="008E17AD" w:rsidRDefault="00285E82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285E82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Sharing of knowledge and expertise at the hosting institution (mentoring students, lectures, etc</w:t>
            </w:r>
            <w: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.</w:t>
            </w:r>
            <w:r w:rsidRPr="00285E82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)</w:t>
            </w:r>
          </w:p>
        </w:tc>
      </w:tr>
      <w:tr w:rsidR="00285E82" w:rsidTr="00285E82">
        <w:trPr>
          <w:trHeight w:val="432"/>
        </w:trPr>
        <w:tc>
          <w:tcPr>
            <w:tcW w:w="9360" w:type="dxa"/>
            <w:gridSpan w:val="2"/>
            <w:shd w:val="clear" w:color="auto" w:fill="CCFFCC"/>
            <w:vAlign w:val="center"/>
          </w:tcPr>
          <w:p w:rsidR="00285E82" w:rsidRPr="008E17AD" w:rsidRDefault="00285E82" w:rsidP="00285E82">
            <w:pPr>
              <w:jc w:val="center"/>
              <w:rPr>
                <w:i/>
                <w:szCs w:val="24"/>
              </w:rPr>
            </w:pPr>
            <w:r>
              <w:rPr>
                <w:rFonts w:ascii="Calibri" w:eastAsia="Times New Roman" w:hAnsi="Calibri" w:cs="Times New Roman"/>
                <w:b/>
                <w:bCs/>
                <w:i/>
                <w:szCs w:val="24"/>
                <w:lang w:eastAsia="en-US"/>
              </w:rPr>
              <w:t>Multiparty Arrangements</w:t>
            </w:r>
          </w:p>
        </w:tc>
      </w:tr>
      <w:tr w:rsidR="00285E82" w:rsidTr="00285E82">
        <w:tc>
          <w:tcPr>
            <w:tcW w:w="3798" w:type="dxa"/>
            <w:vMerge w:val="restart"/>
            <w:vAlign w:val="center"/>
          </w:tcPr>
          <w:p w:rsidR="00285E82" w:rsidRPr="008E17AD" w:rsidRDefault="00285E82" w:rsidP="00285E82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285E82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To understand the complexities associated with multiple parties involved in the researcher visit</w:t>
            </w:r>
          </w:p>
        </w:tc>
        <w:tc>
          <w:tcPr>
            <w:tcW w:w="5562" w:type="dxa"/>
          </w:tcPr>
          <w:p w:rsidR="00285E82" w:rsidRPr="008E17AD" w:rsidRDefault="00285E82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285E82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Centers with multiple companies / universities</w:t>
            </w:r>
          </w:p>
        </w:tc>
      </w:tr>
      <w:tr w:rsidR="00285E82" w:rsidTr="00042D6D">
        <w:tc>
          <w:tcPr>
            <w:tcW w:w="3798" w:type="dxa"/>
            <w:vMerge/>
          </w:tcPr>
          <w:p w:rsidR="00285E82" w:rsidRPr="008E17AD" w:rsidRDefault="00285E82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5562" w:type="dxa"/>
          </w:tcPr>
          <w:p w:rsidR="00285E82" w:rsidRPr="008E17AD" w:rsidRDefault="00285E82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285E82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Multiple companies working at the same location or on the same project - precompetitive research / antitrust issues</w:t>
            </w:r>
          </w:p>
        </w:tc>
      </w:tr>
      <w:tr w:rsidR="00285E82" w:rsidTr="00285E82">
        <w:trPr>
          <w:trHeight w:val="432"/>
        </w:trPr>
        <w:tc>
          <w:tcPr>
            <w:tcW w:w="9360" w:type="dxa"/>
            <w:gridSpan w:val="2"/>
            <w:shd w:val="clear" w:color="auto" w:fill="CCFFCC"/>
            <w:vAlign w:val="center"/>
          </w:tcPr>
          <w:p w:rsidR="00285E82" w:rsidRPr="008E17AD" w:rsidRDefault="00285E82" w:rsidP="00285E82">
            <w:pPr>
              <w:jc w:val="center"/>
              <w:rPr>
                <w:i/>
                <w:szCs w:val="24"/>
              </w:rPr>
            </w:pPr>
            <w:r>
              <w:rPr>
                <w:rFonts w:ascii="Calibri" w:eastAsia="Times New Roman" w:hAnsi="Calibri" w:cs="Times New Roman"/>
                <w:b/>
                <w:bCs/>
                <w:i/>
                <w:szCs w:val="24"/>
                <w:lang w:eastAsia="en-US"/>
              </w:rPr>
              <w:t>Conflict of Interest / Commitment</w:t>
            </w:r>
          </w:p>
        </w:tc>
      </w:tr>
      <w:tr w:rsidR="00285E82" w:rsidTr="00285E82">
        <w:tc>
          <w:tcPr>
            <w:tcW w:w="3798" w:type="dxa"/>
            <w:vMerge w:val="restart"/>
            <w:vAlign w:val="center"/>
          </w:tcPr>
          <w:p w:rsidR="00285E82" w:rsidRPr="008E17AD" w:rsidRDefault="00285E82" w:rsidP="00285E82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285E82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Recognition that the visiting researcher is still an employee of the sending institution</w:t>
            </w:r>
          </w:p>
        </w:tc>
        <w:tc>
          <w:tcPr>
            <w:tcW w:w="5562" w:type="dxa"/>
          </w:tcPr>
          <w:p w:rsidR="00285E82" w:rsidRPr="008E17AD" w:rsidRDefault="00285E82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285E82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Conflict of interest (specify timeframe, scope, mitigation plan if necessary)</w:t>
            </w:r>
          </w:p>
        </w:tc>
      </w:tr>
      <w:tr w:rsidR="00285E82" w:rsidTr="00042D6D">
        <w:tc>
          <w:tcPr>
            <w:tcW w:w="3798" w:type="dxa"/>
            <w:vMerge/>
          </w:tcPr>
          <w:p w:rsidR="00285E82" w:rsidRPr="008E17AD" w:rsidRDefault="00285E82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5562" w:type="dxa"/>
          </w:tcPr>
          <w:p w:rsidR="00285E82" w:rsidRPr="008E17AD" w:rsidRDefault="00285E82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285E82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Conflict of commitment</w:t>
            </w:r>
          </w:p>
        </w:tc>
      </w:tr>
      <w:tr w:rsidR="00285E82" w:rsidTr="00285E82">
        <w:trPr>
          <w:trHeight w:val="432"/>
        </w:trPr>
        <w:tc>
          <w:tcPr>
            <w:tcW w:w="9360" w:type="dxa"/>
            <w:gridSpan w:val="2"/>
            <w:shd w:val="clear" w:color="auto" w:fill="CCFFCC"/>
            <w:vAlign w:val="center"/>
          </w:tcPr>
          <w:p w:rsidR="00285E82" w:rsidRPr="008E17AD" w:rsidRDefault="00285E82" w:rsidP="00285E82">
            <w:pPr>
              <w:jc w:val="center"/>
              <w:rPr>
                <w:i/>
                <w:szCs w:val="24"/>
              </w:rPr>
            </w:pPr>
            <w:r>
              <w:rPr>
                <w:rFonts w:ascii="Calibri" w:eastAsia="Times New Roman" w:hAnsi="Calibri" w:cs="Times New Roman"/>
                <w:b/>
                <w:bCs/>
                <w:i/>
                <w:szCs w:val="24"/>
                <w:lang w:eastAsia="en-US"/>
              </w:rPr>
              <w:t>Logistics / Resources</w:t>
            </w:r>
          </w:p>
        </w:tc>
      </w:tr>
      <w:tr w:rsidR="00285E82" w:rsidTr="00285E82">
        <w:tc>
          <w:tcPr>
            <w:tcW w:w="3798" w:type="dxa"/>
            <w:vMerge w:val="restart"/>
            <w:vAlign w:val="center"/>
          </w:tcPr>
          <w:p w:rsidR="00285E82" w:rsidRPr="008E17AD" w:rsidRDefault="00285E82" w:rsidP="00285E82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 xml:space="preserve">To identify </w:t>
            </w:r>
            <w:r w:rsidRPr="00285E82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the financial and non-financial resources required for a successful visit</w:t>
            </w:r>
          </w:p>
        </w:tc>
        <w:tc>
          <w:tcPr>
            <w:tcW w:w="5562" w:type="dxa"/>
          </w:tcPr>
          <w:p w:rsidR="00285E82" w:rsidRPr="008E17AD" w:rsidRDefault="00285E82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285E82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Physical space and management of it</w:t>
            </w:r>
          </w:p>
        </w:tc>
      </w:tr>
      <w:tr w:rsidR="00285E82" w:rsidTr="00042D6D">
        <w:tc>
          <w:tcPr>
            <w:tcW w:w="3798" w:type="dxa"/>
            <w:vMerge/>
          </w:tcPr>
          <w:p w:rsidR="00285E82" w:rsidRPr="008E17AD" w:rsidRDefault="00285E82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5562" w:type="dxa"/>
          </w:tcPr>
          <w:p w:rsidR="00285E82" w:rsidRPr="008E17AD" w:rsidRDefault="00285E82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285E82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Defining access to host institution infrastructure and resources (email accounts, building access cards, library, equipment, computers, etc</w:t>
            </w:r>
            <w: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.</w:t>
            </w:r>
            <w:r w:rsidRPr="00285E82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)</w:t>
            </w:r>
          </w:p>
        </w:tc>
      </w:tr>
      <w:tr w:rsidR="00285E82" w:rsidTr="00285E82">
        <w:trPr>
          <w:trHeight w:val="432"/>
        </w:trPr>
        <w:tc>
          <w:tcPr>
            <w:tcW w:w="9360" w:type="dxa"/>
            <w:gridSpan w:val="2"/>
            <w:shd w:val="clear" w:color="auto" w:fill="CCFFCC"/>
            <w:vAlign w:val="center"/>
          </w:tcPr>
          <w:p w:rsidR="00285E82" w:rsidRPr="008E17AD" w:rsidRDefault="00285E82" w:rsidP="00285E82">
            <w:pPr>
              <w:jc w:val="center"/>
              <w:rPr>
                <w:i/>
                <w:szCs w:val="24"/>
              </w:rPr>
            </w:pPr>
            <w:r>
              <w:rPr>
                <w:rFonts w:ascii="Calibri" w:eastAsia="Times New Roman" w:hAnsi="Calibri" w:cs="Times New Roman"/>
                <w:b/>
                <w:bCs/>
                <w:i/>
                <w:szCs w:val="24"/>
                <w:lang w:eastAsia="en-US"/>
              </w:rPr>
              <w:t>Relationship With Ongoing Projects</w:t>
            </w:r>
          </w:p>
        </w:tc>
      </w:tr>
      <w:tr w:rsidR="00285E82" w:rsidTr="00285E82">
        <w:tc>
          <w:tcPr>
            <w:tcW w:w="3798" w:type="dxa"/>
            <w:vMerge w:val="restart"/>
            <w:vAlign w:val="center"/>
          </w:tcPr>
          <w:p w:rsidR="00285E82" w:rsidRPr="00285E82" w:rsidRDefault="00285E82" w:rsidP="00285E82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US"/>
              </w:rPr>
            </w:pPr>
            <w:r w:rsidRPr="00285E82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To clarify the roles, responsibilities, and authority of the visiting researcher with regard to ongoing projects at his/her host institution</w:t>
            </w:r>
          </w:p>
        </w:tc>
        <w:tc>
          <w:tcPr>
            <w:tcW w:w="5562" w:type="dxa"/>
          </w:tcPr>
          <w:p w:rsidR="00285E82" w:rsidRPr="008E17AD" w:rsidRDefault="00285E82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Management of projects</w:t>
            </w:r>
          </w:p>
        </w:tc>
      </w:tr>
      <w:tr w:rsidR="00285E82" w:rsidTr="00042D6D">
        <w:tc>
          <w:tcPr>
            <w:tcW w:w="3798" w:type="dxa"/>
            <w:vMerge/>
          </w:tcPr>
          <w:p w:rsidR="00285E82" w:rsidRPr="008E17AD" w:rsidRDefault="00285E82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5562" w:type="dxa"/>
          </w:tcPr>
          <w:p w:rsidR="00285E82" w:rsidRPr="008E17AD" w:rsidRDefault="00285E82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Compartmentalization</w:t>
            </w:r>
          </w:p>
        </w:tc>
      </w:tr>
      <w:tr w:rsidR="00285E82" w:rsidTr="00285E82">
        <w:trPr>
          <w:trHeight w:val="432"/>
        </w:trPr>
        <w:tc>
          <w:tcPr>
            <w:tcW w:w="9360" w:type="dxa"/>
            <w:gridSpan w:val="2"/>
            <w:shd w:val="clear" w:color="auto" w:fill="CCFFCC"/>
            <w:vAlign w:val="center"/>
          </w:tcPr>
          <w:p w:rsidR="00285E82" w:rsidRPr="008E17AD" w:rsidRDefault="00285E82" w:rsidP="00285E82">
            <w:pPr>
              <w:jc w:val="center"/>
              <w:rPr>
                <w:i/>
                <w:szCs w:val="24"/>
              </w:rPr>
            </w:pPr>
            <w:r>
              <w:rPr>
                <w:rFonts w:ascii="Calibri" w:eastAsia="Times New Roman" w:hAnsi="Calibri" w:cs="Times New Roman"/>
                <w:b/>
                <w:bCs/>
                <w:i/>
                <w:szCs w:val="24"/>
                <w:lang w:eastAsia="en-US"/>
              </w:rPr>
              <w:t>Communications / Public Affairs Guidance</w:t>
            </w:r>
          </w:p>
        </w:tc>
      </w:tr>
      <w:tr w:rsidR="00285E82" w:rsidTr="00042D6D">
        <w:tc>
          <w:tcPr>
            <w:tcW w:w="3798" w:type="dxa"/>
          </w:tcPr>
          <w:p w:rsidR="00285E82" w:rsidRPr="008E17AD" w:rsidRDefault="00285E82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285E82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To have a clear and concise messaging about the purpose and ben</w:t>
            </w:r>
            <w:bookmarkStart w:id="0" w:name="_GoBack"/>
            <w:bookmarkEnd w:id="0"/>
            <w:r w:rsidRPr="00285E82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efits of the researcher visit</w:t>
            </w:r>
          </w:p>
        </w:tc>
        <w:tc>
          <w:tcPr>
            <w:tcW w:w="5562" w:type="dxa"/>
          </w:tcPr>
          <w:p w:rsidR="00285E82" w:rsidRPr="008E17AD" w:rsidRDefault="00285E82">
            <w:pPr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</w:pPr>
            <w:r w:rsidRPr="00285E82">
              <w:rPr>
                <w:rFonts w:ascii="Calibri" w:eastAsia="Times New Roman" w:hAnsi="Calibri" w:cs="Times New Roman"/>
                <w:color w:val="000000"/>
                <w:sz w:val="20"/>
                <w:lang w:eastAsia="en-US"/>
              </w:rPr>
              <w:t>How activities are publicized /not publicized</w:t>
            </w:r>
          </w:p>
        </w:tc>
      </w:tr>
    </w:tbl>
    <w:p w:rsidR="00C52330" w:rsidRDefault="00C52330"/>
    <w:sectPr w:rsidR="00C52330" w:rsidSect="00607388">
      <w:foot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5768" w:rsidRDefault="00E35768" w:rsidP="00E35768">
      <w:r>
        <w:separator/>
      </w:r>
    </w:p>
  </w:endnote>
  <w:endnote w:type="continuationSeparator" w:id="0">
    <w:p w:rsidR="00E35768" w:rsidRDefault="00E35768" w:rsidP="00E357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952"/>
      <w:gridCol w:w="2952"/>
      <w:gridCol w:w="2952"/>
    </w:tblGrid>
    <w:tr w:rsidR="00E35768" w:rsidRPr="00E35768" w:rsidTr="00E35768">
      <w:tc>
        <w:tcPr>
          <w:tcW w:w="2952" w:type="dxa"/>
        </w:tcPr>
        <w:p w:rsidR="00E35768" w:rsidRPr="00E35768" w:rsidRDefault="00E35768">
          <w:pPr>
            <w:pStyle w:val="Footer"/>
            <w:rPr>
              <w:rFonts w:ascii="Calibri" w:hAnsi="Calibri"/>
              <w:sz w:val="20"/>
            </w:rPr>
          </w:pPr>
        </w:p>
      </w:tc>
      <w:tc>
        <w:tcPr>
          <w:tcW w:w="2952" w:type="dxa"/>
        </w:tcPr>
        <w:p w:rsidR="00E35768" w:rsidRPr="00E35768" w:rsidRDefault="00E35768" w:rsidP="00E35768">
          <w:pPr>
            <w:pStyle w:val="Footer"/>
            <w:jc w:val="center"/>
            <w:rPr>
              <w:rFonts w:ascii="Calibri" w:hAnsi="Calibri"/>
              <w:sz w:val="20"/>
            </w:rPr>
          </w:pPr>
          <w:r w:rsidRPr="00E35768">
            <w:rPr>
              <w:rFonts w:ascii="Calibri" w:hAnsi="Calibri"/>
              <w:sz w:val="20"/>
            </w:rPr>
            <w:t xml:space="preserve">- </w:t>
          </w:r>
          <w:r w:rsidRPr="00E35768">
            <w:rPr>
              <w:rFonts w:ascii="Calibri" w:hAnsi="Calibri"/>
              <w:sz w:val="20"/>
            </w:rPr>
            <w:fldChar w:fldCharType="begin"/>
          </w:r>
          <w:r w:rsidRPr="00E35768">
            <w:rPr>
              <w:rFonts w:ascii="Calibri" w:hAnsi="Calibri"/>
              <w:sz w:val="20"/>
            </w:rPr>
            <w:instrText xml:space="preserve"> PAGE </w:instrText>
          </w:r>
          <w:r w:rsidRPr="00E35768">
            <w:rPr>
              <w:rFonts w:ascii="Calibri" w:hAnsi="Calibri"/>
              <w:sz w:val="20"/>
            </w:rPr>
            <w:fldChar w:fldCharType="separate"/>
          </w:r>
          <w:r w:rsidR="003018ED">
            <w:rPr>
              <w:rFonts w:ascii="Calibri" w:hAnsi="Calibri"/>
              <w:noProof/>
              <w:sz w:val="20"/>
            </w:rPr>
            <w:t>1</w:t>
          </w:r>
          <w:r w:rsidRPr="00E35768">
            <w:rPr>
              <w:rFonts w:ascii="Calibri" w:hAnsi="Calibri"/>
              <w:sz w:val="20"/>
            </w:rPr>
            <w:fldChar w:fldCharType="end"/>
          </w:r>
          <w:r w:rsidRPr="00E35768">
            <w:rPr>
              <w:rFonts w:ascii="Calibri" w:hAnsi="Calibri"/>
              <w:sz w:val="20"/>
            </w:rPr>
            <w:t xml:space="preserve"> -</w:t>
          </w:r>
        </w:p>
      </w:tc>
      <w:tc>
        <w:tcPr>
          <w:tcW w:w="2952" w:type="dxa"/>
        </w:tcPr>
        <w:p w:rsidR="00E35768" w:rsidRPr="00E35768" w:rsidRDefault="00E35768" w:rsidP="00E35768">
          <w:pPr>
            <w:pStyle w:val="Footer"/>
            <w:jc w:val="right"/>
            <w:rPr>
              <w:rFonts w:ascii="Calibri" w:hAnsi="Calibri"/>
              <w:sz w:val="20"/>
            </w:rPr>
          </w:pPr>
          <w:r>
            <w:rPr>
              <w:rFonts w:ascii="Calibri" w:hAnsi="Calibri"/>
              <w:sz w:val="20"/>
            </w:rPr>
            <w:t>11-Jul-2013</w:t>
          </w:r>
        </w:p>
      </w:tc>
    </w:tr>
  </w:tbl>
  <w:p w:rsidR="00E35768" w:rsidRDefault="00E3576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5768" w:rsidRDefault="00E35768" w:rsidP="00E35768">
      <w:r>
        <w:separator/>
      </w:r>
    </w:p>
  </w:footnote>
  <w:footnote w:type="continuationSeparator" w:id="0">
    <w:p w:rsidR="00E35768" w:rsidRDefault="00E35768" w:rsidP="00E357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4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330"/>
    <w:rsid w:val="00042D6D"/>
    <w:rsid w:val="00253A67"/>
    <w:rsid w:val="00285E82"/>
    <w:rsid w:val="003018ED"/>
    <w:rsid w:val="004D7977"/>
    <w:rsid w:val="00607388"/>
    <w:rsid w:val="008E17AD"/>
    <w:rsid w:val="00C52330"/>
    <w:rsid w:val="00E35768"/>
    <w:rsid w:val="00EB33A8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7388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523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3576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5768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3576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5768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7388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523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3576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5768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3576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5768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2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544</Words>
  <Characters>3105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National Academies</Company>
  <LinksUpToDate>false</LinksUpToDate>
  <CharactersWithSpaces>3642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Starbuck</dc:creator>
  <cp:lastModifiedBy>Katie Kalinowski</cp:lastModifiedBy>
  <cp:revision>2</cp:revision>
  <dcterms:created xsi:type="dcterms:W3CDTF">2013-07-11T20:28:00Z</dcterms:created>
  <dcterms:modified xsi:type="dcterms:W3CDTF">2013-07-11T20:28:00Z</dcterms:modified>
</cp:coreProperties>
</file>