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E4E4E"/>
          <w:sz w:val="44"/>
          <w:szCs w:val="44"/>
        </w:rPr>
        <w:t xml:space="preserve">Logo Design Brief</w:t>
      </w:r>
    </w:p>
    <w:p>
      <w:pPr>
        <w:spacing w:after="60"/>
      </w:pPr>
      <w:r>
        <w:rPr>
          <w:rFonts w:ascii="Calibri" w:cs="Calibri" w:eastAsia="Calibri" w:hAnsi="Calibri"/>
          <w:b/>
          <w:bCs/>
          <w:color w:val="803E98"/>
          <w:sz w:val="32"/>
          <w:szCs w:val="32"/>
        </w:rPr>
        <w:t xml:space="preserve">Diverge Care</w:t>
      </w:r>
    </w:p>
    <w:p>
      <w:pPr>
        <w:pBdr>
          <w:bottom w:val="single" w:color="2E4E4E" w:sz="8" w:space="8"/>
        </w:pBdr>
        <w:spacing w:after="100"/>
      </w:pPr>
      <w:r>
        <w:rPr>
          <w:rFonts w:ascii="Calibri" w:cs="Calibri" w:eastAsia="Calibri" w:hAnsi="Calibri"/>
          <w:i/>
          <w:iCs/>
          <w:sz w:val="20"/>
          <w:szCs w:val="20"/>
        </w:rPr>
        <w:t xml:space="preserve">Disability and aged care services  |  Adelaide, South Australia</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1.  Who we are</w:t>
      </w:r>
    </w:p>
    <w:p>
      <w:pPr>
        <w:spacing w:after="140"/>
      </w:pPr>
      <w:r>
        <w:rPr>
          <w:rFonts w:ascii="Calibri" w:cs="Calibri" w:eastAsia="Calibri" w:hAnsi="Calibri"/>
          <w:b w:val="false"/>
          <w:bCs w:val="false"/>
          <w:i w:val="false"/>
          <w:iCs w:val="false"/>
          <w:sz w:val="22"/>
          <w:szCs w:val="22"/>
        </w:rPr>
        <w:t xml:space="preserve">We are Diverge Care, an Adelaide provider of disability and aged care services. We support people in their own homes, at school, out in the community, and in supported living homes. Some of the people we support are children. Some are teenagers. Some are adults living with disability. Some are in their eighties, recovering from a stroke or just finding things harder than they used to. The youngest and the oldest person we support have almost nothing in common except that we are the ones who show up.</w:t>
      </w:r>
    </w:p>
    <w:p>
      <w:pPr>
        <w:spacing w:after="140"/>
      </w:pPr>
      <w:r>
        <w:rPr>
          <w:rFonts w:ascii="Calibri" w:cs="Calibri" w:eastAsia="Calibri" w:hAnsi="Calibri"/>
          <w:b w:val="false"/>
          <w:bCs w:val="false"/>
          <w:i w:val="false"/>
          <w:iCs w:val="false"/>
          <w:sz w:val="22"/>
          <w:szCs w:val="22"/>
        </w:rPr>
        <w:t xml:space="preserve">We have been trading as two names — Diverge Supports for the hands-on care and A1 Coordination for the coordination work — and we are bringing everything under one name: Diverge Care. Both sides of the business continue. We need one logo that covers both.</w:t>
      </w:r>
    </w:p>
    <w:p>
      <w:pPr>
        <w:spacing w:after="140"/>
      </w:pPr>
      <w:r>
        <w:rPr>
          <w:rFonts w:ascii="Calibri" w:cs="Calibri" w:eastAsia="Calibri" w:hAnsi="Calibri"/>
          <w:b w:val="false"/>
          <w:bCs w:val="false"/>
          <w:i w:val="false"/>
          <w:iCs w:val="false"/>
          <w:sz w:val="22"/>
          <w:szCs w:val="22"/>
        </w:rPr>
        <w:t xml:space="preserve">We are also growing. More supported living homes and more group programs are coming, so the mark needs room to stretch — it will end up on more houses, more vehicles and a bigger team than we have today.</w:t>
      </w:r>
    </w:p>
    <w:p>
      <w:pPr>
        <w:spacing w:after="100"/>
      </w:pPr>
      <w:r>
        <w:rPr>
          <w:rFonts w:ascii="Calibri" w:cs="Calibri" w:eastAsia="Calibri" w:hAnsi="Calibri"/>
          <w:sz w:val="12"/>
          <w:szCs w:val="12"/>
        </w:rPr>
        <w:t xml:space="preserve"/>
      </w:r>
    </w:p>
    <w:p>
      <w:pPr>
        <w:spacing w:after="140"/>
      </w:pPr>
      <w:r>
        <w:rPr>
          <w:rFonts w:ascii="Calibri" w:cs="Calibri" w:eastAsia="Calibri" w:hAnsi="Calibri"/>
          <w:b/>
          <w:bCs/>
          <w:i w:val="false"/>
          <w:iCs w:val="false"/>
          <w:sz w:val="22"/>
          <w:szCs w:val="22"/>
        </w:rPr>
        <w:t xml:space="preserve">What we do: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Service</w:t>
            </w:r>
          </w:p>
        </w:tc>
        <w:tc>
          <w:tcPr>
            <w:tcW w:type="dxa" w:w="62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What it actually is</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Support work</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Someone beside you — hands-on help at home, at school and out in the community</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Support coordination</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Someone finding the way through for you — making sense of a plan, finding the right services, and making the whole thing actually work</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Supported living homes</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Homes for people moving out of home, often for the first time — with more to come</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Group programs</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New. People coming together — activities, skills, company</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Nursing and clinical care</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Nursing oversight on everything we do, from simple to complex</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Aged care</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Packages and private support for older people</w:t>
            </w:r>
          </w:p>
        </w:tc>
      </w:tr>
      <w:tr>
        <w:tc>
          <w:tcPr>
            <w:tcW w:type="dxa" w:w="2800"/>
            <w:tcMar>
              <w:top w:type="dxa" w:w="80"/>
              <w:left w:type="dxa" w:w="120"/>
              <w:bottom w:type="dxa" w:w="80"/>
              <w:right w:type="dxa" w:w="120"/>
            </w:tcMar>
          </w:tcPr>
          <w:p>
            <w:pPr>
              <w:spacing w:after="0"/>
            </w:pPr>
            <w:r>
              <w:rPr>
                <w:rFonts w:ascii="Calibri" w:cs="Calibri" w:eastAsia="Calibri" w:hAnsi="Calibri"/>
                <w:b/>
                <w:bCs/>
                <w:sz w:val="20"/>
                <w:szCs w:val="20"/>
              </w:rPr>
              <w:t xml:space="preserve">Respite and transport</w:t>
            </w:r>
          </w:p>
        </w:tc>
        <w:tc>
          <w:tcPr>
            <w:tcW w:type="dxa" w:w="62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Getting people where they need to be, and giving families a break</w:t>
            </w:r>
          </w:p>
        </w:tc>
      </w:tr>
    </w:tbl>
    <w:p>
      <w:pPr>
        <w:spacing w:after="100"/>
      </w:pPr>
      <w:r>
        <w:rPr>
          <w:rFonts w:ascii="Calibri" w:cs="Calibri" w:eastAsia="Calibri" w:hAnsi="Calibri"/>
          <w:sz w:val="12"/>
          <w:szCs w:val="12"/>
        </w:rPr>
        <w:t xml:space="preserve"/>
      </w:r>
    </w:p>
    <w:p>
      <w:pPr>
        <w:spacing w:after="140"/>
      </w:pPr>
      <w:r>
        <w:rPr>
          <w:rFonts w:ascii="Calibri" w:cs="Calibri" w:eastAsia="Calibri" w:hAnsi="Calibri"/>
          <w:b/>
          <w:bCs/>
          <w:i w:val="false"/>
          <w:iCs w:val="false"/>
          <w:sz w:val="22"/>
          <w:szCs w:val="22"/>
        </w:rPr>
        <w:t xml:space="preserve">Worth noticing: </w:t>
      </w:r>
      <w:r>
        <w:rPr>
          <w:rFonts w:ascii="Calibri" w:cs="Calibri" w:eastAsia="Calibri" w:hAnsi="Calibri"/>
          <w:b w:val="false"/>
          <w:bCs w:val="false"/>
          <w:i w:val="false"/>
          <w:iCs w:val="false"/>
          <w:sz w:val="22"/>
          <w:szCs w:val="22"/>
        </w:rPr>
        <w:t xml:space="preserve">support work and coordination are two genuinely different jobs. One is walking beside someone. The other is finding the route through a system that is hard to read. The logo has to hold both, and as it happens, both live inside our name.</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2.  What our name means</w:t>
      </w:r>
    </w:p>
    <w:p>
      <w:pPr>
        <w:spacing w:after="140"/>
      </w:pPr>
      <w:r>
        <w:rPr>
          <w:rFonts w:ascii="Calibri" w:cs="Calibri" w:eastAsia="Calibri" w:hAnsi="Calibri"/>
          <w:b/>
          <w:bCs/>
          <w:i w:val="false"/>
          <w:iCs w:val="false"/>
          <w:sz w:val="22"/>
          <w:szCs w:val="22"/>
        </w:rPr>
        <w:t xml:space="preserve">Diverge means different. </w:t>
      </w:r>
      <w:r>
        <w:rPr>
          <w:rFonts w:ascii="Calibri" w:cs="Calibri" w:eastAsia="Calibri" w:hAnsi="Calibri"/>
          <w:b w:val="false"/>
          <w:bCs w:val="false"/>
          <w:i w:val="false"/>
          <w:iCs w:val="false"/>
          <w:sz w:val="22"/>
          <w:szCs w:val="22"/>
        </w:rPr>
        <w:t xml:space="preserve">It means a path that branches — one route becoming two, each going somewhere real.</w:t>
      </w:r>
    </w:p>
    <w:p>
      <w:pPr>
        <w:spacing w:after="140"/>
      </w:pPr>
      <w:r>
        <w:rPr>
          <w:rFonts w:ascii="Calibri" w:cs="Calibri" w:eastAsia="Calibri" w:hAnsi="Calibri"/>
          <w:b w:val="false"/>
          <w:bCs w:val="false"/>
          <w:i w:val="false"/>
          <w:iCs w:val="false"/>
          <w:sz w:val="22"/>
          <w:szCs w:val="22"/>
        </w:rPr>
        <w:t xml:space="preserve">It is also the root of the word neurodivergent, which the disability community uses about themselves with pride. Divergent is not a polite word for something being wrong with you. It describes a different way of being in the world.</w:t>
      </w:r>
    </w:p>
    <w:p>
      <w:pPr>
        <w:spacing w:after="140"/>
      </w:pPr>
      <w:r>
        <w:rPr>
          <w:rFonts w:ascii="Calibri" w:cs="Calibri" w:eastAsia="Calibri" w:hAnsi="Calibri"/>
          <w:b w:val="false"/>
          <w:bCs w:val="false"/>
          <w:i w:val="false"/>
          <w:iCs w:val="false"/>
          <w:sz w:val="22"/>
          <w:szCs w:val="22"/>
        </w:rPr>
        <w:t xml:space="preserve">That is the whole idea of the business. Our job is not to bring someone back onto the standard path. It is to help them go down their own one safely, and to help them find it in the first place.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F4F4F4" w:color="auto" w:val="clear"/>
            <w:tcMar>
              <w:top w:type="dxa" w:w="180"/>
              <w:left w:type="dxa" w:w="220"/>
              <w:bottom w:type="dxa" w:w="180"/>
              <w:right w:type="dxa" w:w="220"/>
            </w:tcMar>
          </w:tcPr>
          <w:p>
            <w:pPr>
              <w:spacing w:after="60"/>
            </w:pPr>
            <w:r>
              <w:rPr>
                <w:rFonts w:ascii="Calibri" w:cs="Calibri" w:eastAsia="Calibri" w:hAnsi="Calibri"/>
                <w:b/>
                <w:bCs/>
                <w:i w:val="false"/>
                <w:iCs w:val="false"/>
                <w:sz w:val="22"/>
                <w:szCs w:val="22"/>
              </w:rPr>
              <w:t xml:space="preserve">We come alongside a person for a while, and then they go their own way.</w:t>
            </w:r>
          </w:p>
          <w:p>
            <w:pPr>
              <w:spacing w:after="0"/>
            </w:pPr>
            <w:r>
              <w:rPr>
                <w:rFonts w:ascii="Calibri" w:cs="Calibri" w:eastAsia="Calibri" w:hAnsi="Calibri"/>
                <w:b w:val="false"/>
                <w:bCs w:val="false"/>
                <w:i/>
                <w:iCs/>
                <w:sz w:val="22"/>
                <w:szCs w:val="22"/>
              </w:rPr>
              <w:t xml:space="preserve">Convergence, then divergence. That is the shape of what we do.</w:t>
            </w:r>
          </w:p>
        </w:tc>
      </w:tr>
    </w:tbl>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3.  The part that matters most</w:t>
      </w:r>
    </w:p>
    <w:p>
      <w:pPr>
        <w:spacing w:after="140"/>
      </w:pPr>
      <w:r>
        <w:rPr>
          <w:rFonts w:ascii="Calibri" w:cs="Calibri" w:eastAsia="Calibri" w:hAnsi="Calibri"/>
          <w:b w:val="false"/>
          <w:bCs w:val="false"/>
          <w:i w:val="false"/>
          <w:iCs w:val="false"/>
          <w:sz w:val="22"/>
          <w:szCs w:val="22"/>
        </w:rPr>
        <w:t xml:space="preserve">If you read nothing else, read this.</w:t>
      </w:r>
    </w:p>
    <w:p>
      <w:pPr>
        <w:spacing w:after="140"/>
      </w:pPr>
      <w:r>
        <w:rPr>
          <w:rFonts w:ascii="Calibri" w:cs="Calibri" w:eastAsia="Calibri" w:hAnsi="Calibri"/>
          <w:b w:val="false"/>
          <w:bCs w:val="false"/>
          <w:i w:val="false"/>
          <w:iCs w:val="false"/>
          <w:sz w:val="22"/>
          <w:szCs w:val="22"/>
        </w:rPr>
        <w:t xml:space="preserve">Every single person on our team is here because they like making someone’s life better. Not only the person we are supporting — their family too. A parent who finally gets a night’s sleep. A daughter who stops carrying it on her own. That is as much the job as anything we write on a care plan.</w:t>
      </w:r>
    </w:p>
    <w:p>
      <w:pPr>
        <w:spacing w:after="140"/>
      </w:pPr>
      <w:r>
        <w:rPr>
          <w:rFonts w:ascii="Calibri" w:cs="Calibri" w:eastAsia="Calibri" w:hAnsi="Calibri"/>
          <w:b w:val="false"/>
          <w:bCs w:val="false"/>
          <w:i w:val="false"/>
          <w:iCs w:val="false"/>
          <w:sz w:val="22"/>
          <w:szCs w:val="22"/>
        </w:rPr>
        <w:t xml:space="preserve">In our supported living homes there are young people out of home for the first time in their lives. Our staff love them like family. When one of them does something he could not do a year ago, the whole team lights up — not politely, properly. Many of the people we support will need support for the rest of their lives. We are not trying to hand them a service. We are trying to give them the very best life.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F4F4F4" w:color="auto" w:val="clear"/>
            <w:tcMar>
              <w:top w:type="dxa" w:w="180"/>
              <w:left w:type="dxa" w:w="220"/>
              <w:bottom w:type="dxa" w:w="180"/>
              <w:right w:type="dxa" w:w="220"/>
            </w:tcMar>
          </w:tcPr>
          <w:p>
            <w:pPr>
              <w:spacing w:after="0"/>
            </w:pPr>
            <w:r>
              <w:rPr>
                <w:rFonts w:ascii="Calibri" w:cs="Calibri" w:eastAsia="Calibri" w:hAnsi="Calibri"/>
                <w:b/>
                <w:bCs/>
                <w:i w:val="false"/>
                <w:iCs w:val="false"/>
                <w:sz w:val="22"/>
                <w:szCs w:val="22"/>
              </w:rPr>
              <w:t xml:space="preserve">If we could only get one thing into this logo, it would be that.</w:t>
            </w:r>
          </w:p>
        </w:tc>
      </w:tr>
    </w:tbl>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4.  Who will look at this logo</w:t>
      </w:r>
    </w:p>
    <w:p>
      <w:pPr>
        <w:spacing w:after="140"/>
      </w:pPr>
      <w:r>
        <w:rPr>
          <w:rFonts w:ascii="Calibri" w:cs="Calibri" w:eastAsia="Calibri" w:hAnsi="Calibri"/>
          <w:b w:val="false"/>
          <w:bCs w:val="false"/>
          <w:i w:val="false"/>
          <w:iCs w:val="false"/>
          <w:sz w:val="22"/>
          <w:szCs w:val="22"/>
        </w:rPr>
        <w:t xml:space="preserve">Six different people see this mark, and they are not looking for the same thing. These are composites, not real clients.</w:t>
      </w:r>
    </w:p>
    <w:p>
      <w:pPr>
        <w:spacing w:after="60" w:before="180"/>
      </w:pPr>
      <w:r>
        <w:rPr>
          <w:rFonts w:ascii="Calibri" w:cs="Calibri" w:eastAsia="Calibri" w:hAnsi="Calibri"/>
          <w:b/>
          <w:bCs/>
          <w:color w:val="803E98"/>
          <w:sz w:val="24"/>
          <w:szCs w:val="24"/>
        </w:rPr>
        <w:t xml:space="preserve">The mum of a seven-year-old</w:t>
      </w:r>
    </w:p>
    <w:p>
      <w:pPr>
        <w:spacing w:after="60"/>
      </w:pPr>
      <w:r>
        <w:rPr>
          <w:rFonts w:ascii="Calibri" w:cs="Calibri" w:eastAsia="Calibri" w:hAnsi="Calibri"/>
          <w:b w:val="false"/>
          <w:bCs w:val="false"/>
          <w:i w:val="false"/>
          <w:iCs w:val="false"/>
          <w:sz w:val="22"/>
          <w:szCs w:val="22"/>
        </w:rPr>
        <w:t xml:space="preserve">Her son was diagnosed two years ago and she has been fighting for something ever since — a diagnosis, a plan, a school that gets it, a provider who does not talk down to her. She has sat across from a lot of professionals who treated her boy as a problem to be corrected. She is not looking for someone to fix him. She is looking for someone who sees a kid.</w:t>
      </w:r>
    </w:p>
    <w:p>
      <w:pPr>
        <w:spacing w:after="140"/>
        <w:ind w:left="360"/>
      </w:pPr>
      <w:r>
        <w:rPr>
          <w:rFonts w:ascii="Calibri" w:cs="Calibri" w:eastAsia="Calibri" w:hAnsi="Calibri"/>
          <w:b/>
          <w:bCs/>
          <w:sz w:val="22"/>
          <w:szCs w:val="22"/>
        </w:rPr>
        <w:t xml:space="preserve">What she needs to feel: </w:t>
      </w:r>
      <w:r>
        <w:rPr>
          <w:rFonts w:ascii="Calibri" w:cs="Calibri" w:eastAsia="Calibri" w:hAnsi="Calibri"/>
          <w:i/>
          <w:iCs/>
          <w:sz w:val="22"/>
          <w:szCs w:val="22"/>
        </w:rPr>
        <w:t xml:space="preserve">that her child is a person, not a case — warmth, without being talked to like a child herself</w:t>
      </w:r>
    </w:p>
    <w:p>
      <w:pPr>
        <w:spacing w:after="60" w:before="180"/>
      </w:pPr>
      <w:r>
        <w:rPr>
          <w:rFonts w:ascii="Calibri" w:cs="Calibri" w:eastAsia="Calibri" w:hAnsi="Calibri"/>
          <w:b/>
          <w:bCs/>
          <w:color w:val="803E98"/>
          <w:sz w:val="24"/>
          <w:szCs w:val="24"/>
        </w:rPr>
        <w:t xml:space="preserve">The young man moving out of home for the first time</w:t>
      </w:r>
    </w:p>
    <w:p>
      <w:pPr>
        <w:spacing w:after="60"/>
      </w:pPr>
      <w:r>
        <w:rPr>
          <w:rFonts w:ascii="Calibri" w:cs="Calibri" w:eastAsia="Calibri" w:hAnsi="Calibri"/>
          <w:b w:val="false"/>
          <w:bCs w:val="false"/>
          <w:i w:val="false"/>
          <w:iCs w:val="false"/>
          <w:sz w:val="22"/>
          <w:szCs w:val="22"/>
        </w:rPr>
        <w:t xml:space="preserve">Learning to cook, to catch a bus, to have his own front door key. He is proud of that and so are we. He will have support around him for life, and this logo is on the shirt of the people who share his kitchen.</w:t>
      </w:r>
    </w:p>
    <w:p>
      <w:pPr>
        <w:spacing w:after="140"/>
        <w:ind w:left="360"/>
      </w:pPr>
      <w:r>
        <w:rPr>
          <w:rFonts w:ascii="Calibri" w:cs="Calibri" w:eastAsia="Calibri" w:hAnsi="Calibri"/>
          <w:b/>
          <w:bCs/>
          <w:sz w:val="22"/>
          <w:szCs w:val="22"/>
        </w:rPr>
        <w:t xml:space="preserve">What he needs to feel: </w:t>
      </w:r>
      <w:r>
        <w:rPr>
          <w:rFonts w:ascii="Calibri" w:cs="Calibri" w:eastAsia="Calibri" w:hAnsi="Calibri"/>
          <w:i/>
          <w:iCs/>
          <w:sz w:val="22"/>
          <w:szCs w:val="22"/>
        </w:rPr>
        <w:t xml:space="preserve">this is my home and these are my people — not an institution</w:t>
      </w:r>
    </w:p>
    <w:p>
      <w:pPr>
        <w:spacing w:after="60" w:before="180"/>
      </w:pPr>
      <w:r>
        <w:rPr>
          <w:rFonts w:ascii="Calibri" w:cs="Calibri" w:eastAsia="Calibri" w:hAnsi="Calibri"/>
          <w:b/>
          <w:bCs/>
          <w:color w:val="803E98"/>
          <w:sz w:val="24"/>
          <w:szCs w:val="24"/>
        </w:rPr>
        <w:t xml:space="preserve">The daughter arranging care for her mother</w:t>
      </w:r>
    </w:p>
    <w:p>
      <w:pPr>
        <w:spacing w:after="60"/>
      </w:pPr>
      <w:r>
        <w:rPr>
          <w:rFonts w:ascii="Calibri" w:cs="Calibri" w:eastAsia="Calibri" w:hAnsi="Calibri"/>
          <w:b w:val="false"/>
          <w:bCs w:val="false"/>
          <w:i w:val="false"/>
          <w:iCs w:val="false"/>
          <w:sz w:val="22"/>
          <w:szCs w:val="22"/>
        </w:rPr>
        <w:t xml:space="preserve">Fifty-four, works full time, lives two hours away. Her mum had a fall six weeks ago and is not coping. It is nine at night and she has four provider websites open, none of the language makes sense to her, and she is running on guilt. She will decide on a feeling as much as a fact.</w:t>
      </w:r>
    </w:p>
    <w:p>
      <w:pPr>
        <w:spacing w:after="140"/>
        <w:ind w:left="360"/>
      </w:pPr>
      <w:r>
        <w:rPr>
          <w:rFonts w:ascii="Calibri" w:cs="Calibri" w:eastAsia="Calibri" w:hAnsi="Calibri"/>
          <w:b/>
          <w:bCs/>
          <w:sz w:val="22"/>
          <w:szCs w:val="22"/>
        </w:rPr>
        <w:t xml:space="preserve">What she needs to feel: </w:t>
      </w:r>
      <w:r>
        <w:rPr>
          <w:rFonts w:ascii="Calibri" w:cs="Calibri" w:eastAsia="Calibri" w:hAnsi="Calibri"/>
          <w:i/>
          <w:iCs/>
          <w:sz w:val="22"/>
          <w:szCs w:val="22"/>
        </w:rPr>
        <w:t xml:space="preserve">safe hands — calm, competent, someone who will not drop this</w:t>
      </w:r>
    </w:p>
    <w:p>
      <w:pPr>
        <w:spacing w:after="60" w:before="180"/>
      </w:pPr>
      <w:r>
        <w:rPr>
          <w:rFonts w:ascii="Calibri" w:cs="Calibri" w:eastAsia="Calibri" w:hAnsi="Calibri"/>
          <w:b/>
          <w:bCs/>
          <w:color w:val="803E98"/>
          <w:sz w:val="24"/>
          <w:szCs w:val="24"/>
        </w:rPr>
        <w:t xml:space="preserve">The person trying to make sense of a plan</w:t>
      </w:r>
    </w:p>
    <w:p>
      <w:pPr>
        <w:spacing w:after="60"/>
      </w:pPr>
      <w:r>
        <w:rPr>
          <w:rFonts w:ascii="Calibri" w:cs="Calibri" w:eastAsia="Calibri" w:hAnsi="Calibri"/>
          <w:b w:val="false"/>
          <w:bCs w:val="false"/>
          <w:i w:val="false"/>
          <w:iCs w:val="false"/>
          <w:sz w:val="22"/>
          <w:szCs w:val="22"/>
        </w:rPr>
        <w:t xml:space="preserve">She has a plan full of line items and acronyms and no idea what any of it buys. She has been told to be the project manager of her own support and nobody showed her how. Our coordinators do this part — they read the system so she does not have to.</w:t>
      </w:r>
    </w:p>
    <w:p>
      <w:pPr>
        <w:spacing w:after="140"/>
        <w:ind w:left="360"/>
      </w:pPr>
      <w:r>
        <w:rPr>
          <w:rFonts w:ascii="Calibri" w:cs="Calibri" w:eastAsia="Calibri" w:hAnsi="Calibri"/>
          <w:b/>
          <w:bCs/>
          <w:sz w:val="22"/>
          <w:szCs w:val="22"/>
        </w:rPr>
        <w:t xml:space="preserve">What she needs to feel: </w:t>
      </w:r>
      <w:r>
        <w:rPr>
          <w:rFonts w:ascii="Calibri" w:cs="Calibri" w:eastAsia="Calibri" w:hAnsi="Calibri"/>
          <w:i/>
          <w:iCs/>
          <w:sz w:val="22"/>
          <w:szCs w:val="22"/>
        </w:rPr>
        <w:t xml:space="preserve">someone has got the map — clear-headed, on her side</w:t>
      </w:r>
    </w:p>
    <w:p>
      <w:pPr>
        <w:spacing w:after="60" w:before="180"/>
      </w:pPr>
      <w:r>
        <w:rPr>
          <w:rFonts w:ascii="Calibri" w:cs="Calibri" w:eastAsia="Calibri" w:hAnsi="Calibri"/>
          <w:b/>
          <w:bCs/>
          <w:color w:val="803E98"/>
          <w:sz w:val="24"/>
          <w:szCs w:val="24"/>
        </w:rPr>
        <w:t xml:space="preserve">The referrer</w:t>
      </w:r>
    </w:p>
    <w:p>
      <w:pPr>
        <w:spacing w:after="60"/>
      </w:pPr>
      <w:r>
        <w:rPr>
          <w:rFonts w:ascii="Calibri" w:cs="Calibri" w:eastAsia="Calibri" w:hAnsi="Calibri"/>
          <w:b w:val="false"/>
          <w:bCs w:val="false"/>
          <w:i w:val="false"/>
          <w:iCs w:val="false"/>
          <w:sz w:val="22"/>
          <w:szCs w:val="22"/>
        </w:rPr>
        <w:t xml:space="preserve">A support coordinator, plan manager, hospital discharge planner, occupational therapist or GP. She sends people to us, and she wears it if we get it wrong. Recommending us has to make her look good to her own client.</w:t>
      </w:r>
    </w:p>
    <w:p>
      <w:pPr>
        <w:spacing w:after="140"/>
        <w:ind w:left="360"/>
      </w:pPr>
      <w:r>
        <w:rPr>
          <w:rFonts w:ascii="Calibri" w:cs="Calibri" w:eastAsia="Calibri" w:hAnsi="Calibri"/>
          <w:b/>
          <w:bCs/>
          <w:sz w:val="22"/>
          <w:szCs w:val="22"/>
        </w:rPr>
        <w:t xml:space="preserve">What she needs to feel: </w:t>
      </w:r>
      <w:r>
        <w:rPr>
          <w:rFonts w:ascii="Calibri" w:cs="Calibri" w:eastAsia="Calibri" w:hAnsi="Calibri"/>
          <w:i/>
          <w:iCs/>
          <w:sz w:val="22"/>
          <w:szCs w:val="22"/>
        </w:rPr>
        <w:t xml:space="preserve">clinically credible — safe to put her name next to</w:t>
      </w:r>
    </w:p>
    <w:p>
      <w:pPr>
        <w:spacing w:after="60" w:before="180"/>
      </w:pPr>
      <w:r>
        <w:rPr>
          <w:rFonts w:ascii="Calibri" w:cs="Calibri" w:eastAsia="Calibri" w:hAnsi="Calibri"/>
          <w:b/>
          <w:bCs/>
          <w:color w:val="803E98"/>
          <w:sz w:val="24"/>
          <w:szCs w:val="24"/>
        </w:rPr>
        <w:t xml:space="preserve">The support worker</w:t>
      </w:r>
    </w:p>
    <w:p>
      <w:pPr>
        <w:spacing w:after="60"/>
      </w:pPr>
      <w:r>
        <w:rPr>
          <w:rFonts w:ascii="Calibri" w:cs="Calibri" w:eastAsia="Calibri" w:hAnsi="Calibri"/>
          <w:b w:val="false"/>
          <w:bCs w:val="false"/>
          <w:i w:val="false"/>
          <w:iCs w:val="false"/>
          <w:sz w:val="22"/>
          <w:szCs w:val="22"/>
        </w:rPr>
        <w:t xml:space="preserve">Scrolling job ads. Good support workers have options and this is a competitive market. She will wear this logo on her chest into strangers’ homes and be judged on it before she says a word. The ones we want are the ones who light up when someone achieves something.</w:t>
      </w:r>
    </w:p>
    <w:p>
      <w:pPr>
        <w:spacing w:after="140"/>
        <w:ind w:left="360"/>
      </w:pPr>
      <w:r>
        <w:rPr>
          <w:rFonts w:ascii="Calibri" w:cs="Calibri" w:eastAsia="Calibri" w:hAnsi="Calibri"/>
          <w:b/>
          <w:bCs/>
          <w:sz w:val="22"/>
          <w:szCs w:val="22"/>
        </w:rPr>
        <w:t xml:space="preserve">What she needs to feel: </w:t>
      </w:r>
      <w:r>
        <w:rPr>
          <w:rFonts w:ascii="Calibri" w:cs="Calibri" w:eastAsia="Calibri" w:hAnsi="Calibri"/>
          <w:i/>
          <w:iCs/>
          <w:sz w:val="22"/>
          <w:szCs w:val="22"/>
        </w:rPr>
        <w:t xml:space="preserve">somewhere worth working — professional, human, not corporate</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5.  Why people choose us</w:t>
      </w:r>
    </w:p>
    <w:p>
      <w:pPr>
        <w:pStyle w:val="ListParagraph"/>
        <w:numPr>
          <w:ilvl w:val="0"/>
          <w:numId w:val="2"/>
        </w:numPr>
        <w:spacing w:after="70"/>
      </w:pPr>
      <w:r>
        <w:rPr>
          <w:rFonts w:ascii="Calibri" w:cs="Calibri" w:eastAsia="Calibri" w:hAnsi="Calibri"/>
          <w:b/>
          <w:bCs/>
          <w:sz w:val="22"/>
          <w:szCs w:val="22"/>
        </w:rPr>
        <w:t xml:space="preserve">We are nurse-led, all the way up. </w:t>
      </w:r>
      <w:r>
        <w:rPr>
          <w:rFonts w:ascii="Calibri" w:cs="Calibri" w:eastAsia="Calibri" w:hAnsi="Calibri"/>
          <w:b w:val="false"/>
          <w:bCs w:val="false"/>
          <w:sz w:val="22"/>
          <w:szCs w:val="22"/>
        </w:rPr>
        <w:t xml:space="preserve">Most providers hand a person on when their needs get too complex. We do not. A family does not have to start again with strangers at the worst possible moment.</w:t>
      </w:r>
    </w:p>
    <w:p>
      <w:pPr>
        <w:pStyle w:val="ListParagraph"/>
        <w:numPr>
          <w:ilvl w:val="0"/>
          <w:numId w:val="2"/>
        </w:numPr>
        <w:spacing w:after="70"/>
      </w:pPr>
      <w:r>
        <w:rPr>
          <w:rFonts w:ascii="Calibri" w:cs="Calibri" w:eastAsia="Calibri" w:hAnsi="Calibri"/>
          <w:b/>
          <w:bCs/>
          <w:sz w:val="22"/>
          <w:szCs w:val="22"/>
        </w:rPr>
        <w:t xml:space="preserve">We look after the family, not just the client. </w:t>
      </w:r>
      <w:r>
        <w:rPr>
          <w:rFonts w:ascii="Calibri" w:cs="Calibri" w:eastAsia="Calibri" w:hAnsi="Calibri"/>
          <w:b w:val="false"/>
          <w:bCs w:val="false"/>
          <w:sz w:val="22"/>
          <w:szCs w:val="22"/>
        </w:rPr>
        <w:t xml:space="preserve">The person we support has people around them who are tired, worried and carrying a lot. We take some of that off them, and we mean to.</w:t>
      </w:r>
    </w:p>
    <w:p>
      <w:pPr>
        <w:pStyle w:val="ListParagraph"/>
        <w:numPr>
          <w:ilvl w:val="0"/>
          <w:numId w:val="2"/>
        </w:numPr>
        <w:spacing w:after="70"/>
      </w:pPr>
      <w:r>
        <w:rPr>
          <w:rFonts w:ascii="Calibri" w:cs="Calibri" w:eastAsia="Calibri" w:hAnsi="Calibri"/>
          <w:b/>
          <w:bCs/>
          <w:sz w:val="22"/>
          <w:szCs w:val="22"/>
        </w:rPr>
        <w:t xml:space="preserve">We can read the system. </w:t>
      </w:r>
      <w:r>
        <w:rPr>
          <w:rFonts w:ascii="Calibri" w:cs="Calibri" w:eastAsia="Calibri" w:hAnsi="Calibri"/>
          <w:b w:val="false"/>
          <w:bCs w:val="false"/>
          <w:sz w:val="22"/>
          <w:szCs w:val="22"/>
        </w:rPr>
        <w:t xml:space="preserve">Our coordinators and our director are genuine advocates on plans and packages, and they put a complicated system into plain words. People come to us confused about what they are entitled to, and leave knowing.</w:t>
      </w:r>
    </w:p>
    <w:p>
      <w:pPr>
        <w:pStyle w:val="ListParagraph"/>
        <w:numPr>
          <w:ilvl w:val="0"/>
          <w:numId w:val="2"/>
        </w:numPr>
        <w:spacing w:after="70"/>
      </w:pPr>
      <w:r>
        <w:rPr>
          <w:rFonts w:ascii="Calibri" w:cs="Calibri" w:eastAsia="Calibri" w:hAnsi="Calibri"/>
          <w:b/>
          <w:bCs/>
          <w:sz w:val="22"/>
          <w:szCs w:val="22"/>
        </w:rPr>
        <w:t xml:space="preserve">One provider across a whole life. </w:t>
      </w:r>
      <w:r>
        <w:rPr>
          <w:rFonts w:ascii="Calibri" w:cs="Calibri" w:eastAsia="Calibri" w:hAnsi="Calibri"/>
          <w:b w:val="false"/>
          <w:bCs w:val="false"/>
          <w:sz w:val="22"/>
          <w:szCs w:val="22"/>
        </w:rPr>
        <w:t xml:space="preserve">Coordination and hands-on support. Disability and aged care. Funded and private. A bit of help at home right through to supported living. People can move through stages without moving provider.</w:t>
      </w:r>
    </w:p>
    <w:p>
      <w:pPr>
        <w:pStyle w:val="ListParagraph"/>
        <w:numPr>
          <w:ilvl w:val="0"/>
          <w:numId w:val="2"/>
        </w:numPr>
        <w:spacing w:after="70"/>
      </w:pPr>
      <w:r>
        <w:rPr>
          <w:rFonts w:ascii="Calibri" w:cs="Calibri" w:eastAsia="Calibri" w:hAnsi="Calibri"/>
          <w:b/>
          <w:bCs/>
          <w:sz w:val="22"/>
          <w:szCs w:val="22"/>
        </w:rPr>
        <w:t xml:space="preserve">We move when life moves. </w:t>
      </w:r>
      <w:r>
        <w:rPr>
          <w:rFonts w:ascii="Calibri" w:cs="Calibri" w:eastAsia="Calibri" w:hAnsi="Calibri"/>
          <w:b w:val="false"/>
          <w:bCs w:val="false"/>
          <w:sz w:val="22"/>
          <w:szCs w:val="22"/>
        </w:rPr>
        <w:t xml:space="preserve">Plans change at short notice and we work around that instead of making people fight for it.</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6.  What we want the logo to say</w:t>
      </w:r>
    </w:p>
    <w:p>
      <w:pPr>
        <w:spacing w:after="140"/>
      </w:pPr>
      <w:r>
        <w:rPr>
          <w:rFonts w:ascii="Calibri" w:cs="Calibri" w:eastAsia="Calibri" w:hAnsi="Calibri"/>
          <w:b w:val="false"/>
          <w:bCs w:val="false"/>
          <w:i w:val="false"/>
          <w:iCs w:val="false"/>
          <w:sz w:val="22"/>
          <w:szCs w:val="22"/>
        </w:rPr>
        <w:t xml:space="preserve">The mark needs to hold two things at once: the steadiness a family needs on a hard night, and the gladness of a team that lights up when somebody achieves something. Capable and warm. Different paths, held steady.</w:t>
      </w:r>
    </w:p>
    <w:p>
      <w:pPr>
        <w:spacing w:after="140"/>
      </w:pPr>
      <w:r>
        <w:rPr>
          <w:rFonts w:ascii="Calibri" w:cs="Calibri" w:eastAsia="Calibri" w:hAnsi="Calibri"/>
          <w:b/>
          <w:bCs/>
          <w:i w:val="false"/>
          <w:iCs w:val="false"/>
          <w:sz w:val="22"/>
          <w:szCs w:val="22"/>
        </w:rPr>
        <w:t xml:space="preserve">Some directions worth exploring — prompts, not instructions:</w:t>
      </w:r>
    </w:p>
    <w:p>
      <w:pPr>
        <w:pStyle w:val="ListParagraph"/>
        <w:numPr>
          <w:ilvl w:val="0"/>
          <w:numId w:val="2"/>
        </w:numPr>
        <w:spacing w:after="70"/>
      </w:pPr>
      <w:r>
        <w:rPr>
          <w:rFonts w:ascii="Calibri" w:cs="Calibri" w:eastAsia="Calibri" w:hAnsi="Calibri"/>
          <w:sz w:val="22"/>
          <w:szCs w:val="22"/>
        </w:rPr>
        <w:t xml:space="preserve">A line or path splitting into two or more branches of equal weight. No dominant main line with a small offshoot — the branches are equals.</w:t>
      </w:r>
    </w:p>
    <w:p>
      <w:pPr>
        <w:pStyle w:val="ListParagraph"/>
        <w:numPr>
          <w:ilvl w:val="0"/>
          <w:numId w:val="2"/>
        </w:numPr>
        <w:spacing w:after="70"/>
      </w:pPr>
      <w:r>
        <w:rPr>
          <w:rFonts w:ascii="Calibri" w:cs="Calibri" w:eastAsia="Calibri" w:hAnsi="Calibri"/>
          <w:sz w:val="22"/>
          <w:szCs w:val="22"/>
        </w:rPr>
        <w:t xml:space="preserve">Lines converging and then separating: support that comes alongside rather than takes over. Our group programs are the coming-together half of that.</w:t>
      </w:r>
    </w:p>
    <w:p>
      <w:pPr>
        <w:pStyle w:val="ListParagraph"/>
        <w:numPr>
          <w:ilvl w:val="0"/>
          <w:numId w:val="2"/>
        </w:numPr>
        <w:spacing w:after="70"/>
      </w:pPr>
      <w:r>
        <w:rPr>
          <w:rFonts w:ascii="Calibri" w:cs="Calibri" w:eastAsia="Calibri" w:hAnsi="Calibri"/>
          <w:sz w:val="22"/>
          <w:szCs w:val="22"/>
        </w:rPr>
        <w:t xml:space="preserve">A route or way through — the coordination side of what we do is literally finding the path.</w:t>
      </w:r>
    </w:p>
    <w:p>
      <w:pPr>
        <w:pStyle w:val="ListParagraph"/>
        <w:numPr>
          <w:ilvl w:val="0"/>
          <w:numId w:val="2"/>
        </w:numPr>
        <w:spacing w:after="70"/>
      </w:pPr>
      <w:r>
        <w:rPr>
          <w:rFonts w:ascii="Calibri" w:cs="Calibri" w:eastAsia="Calibri" w:hAnsi="Calibri"/>
          <w:sz w:val="22"/>
          <w:szCs w:val="22"/>
        </w:rPr>
        <w:t xml:space="preserve">A letter D built from diverging strokes.</w:t>
      </w:r>
    </w:p>
    <w:p>
      <w:pPr>
        <w:pStyle w:val="ListParagraph"/>
        <w:numPr>
          <w:ilvl w:val="0"/>
          <w:numId w:val="2"/>
        </w:numPr>
        <w:spacing w:after="70"/>
      </w:pPr>
      <w:r>
        <w:rPr>
          <w:rFonts w:ascii="Calibri" w:cs="Calibri" w:eastAsia="Calibri" w:hAnsi="Calibri"/>
          <w:sz w:val="22"/>
          <w:szCs w:val="22"/>
        </w:rPr>
        <w:t xml:space="preserve">Contour or route lines — different ways across the same ground.</w:t>
      </w:r>
    </w:p>
    <w:p>
      <w:pPr>
        <w:spacing w:after="100"/>
      </w:pPr>
      <w:r>
        <w:rPr>
          <w:rFonts w:ascii="Calibri" w:cs="Calibri" w:eastAsia="Calibri" w:hAnsi="Calibri"/>
          <w:sz w:val="12"/>
          <w:szCs w:val="12"/>
        </w:rPr>
        <w:t xml:space="preserve"/>
      </w:r>
    </w:p>
    <w:p>
      <w:pPr>
        <w:spacing w:after="140"/>
      </w:pPr>
      <w:r>
        <w:rPr>
          <w:rFonts w:ascii="Calibri" w:cs="Calibri" w:eastAsia="Calibri" w:hAnsi="Calibri"/>
          <w:b/>
          <w:bCs/>
          <w:i w:val="false"/>
          <w:iCs w:val="false"/>
          <w:sz w:val="22"/>
          <w:szCs w:val="22"/>
        </w:rPr>
        <w:t xml:space="preserve">Three things the mark has to do at once:</w:t>
      </w:r>
    </w:p>
    <w:p>
      <w:pPr>
        <w:pStyle w:val="ListParagraph"/>
        <w:numPr>
          <w:ilvl w:val="0"/>
          <w:numId w:val="2"/>
        </w:numPr>
        <w:spacing w:after="70"/>
      </w:pPr>
      <w:r>
        <w:rPr>
          <w:rFonts w:ascii="Calibri" w:cs="Calibri" w:eastAsia="Calibri" w:hAnsi="Calibri"/>
          <w:b/>
          <w:bCs/>
          <w:sz w:val="22"/>
          <w:szCs w:val="22"/>
        </w:rPr>
        <w:t xml:space="preserve">Stretch across ages. </w:t>
      </w:r>
      <w:r>
        <w:rPr>
          <w:rFonts w:ascii="Calibri" w:cs="Calibri" w:eastAsia="Calibri" w:hAnsi="Calibri"/>
          <w:b w:val="false"/>
          <w:bCs w:val="false"/>
          <w:sz w:val="22"/>
          <w:szCs w:val="22"/>
        </w:rPr>
        <w:t xml:space="preserve">The same mark goes on a worker’s polo at a primary school gate, on a young man’s kitchen bench in his first home, and on a letter to an eighty-year-old’s daughter. Nothing that codes as a children’s charity. Nothing that codes as a retirement village.</w:t>
      </w:r>
    </w:p>
    <w:p>
      <w:pPr>
        <w:pStyle w:val="ListParagraph"/>
        <w:numPr>
          <w:ilvl w:val="0"/>
          <w:numId w:val="2"/>
        </w:numPr>
        <w:spacing w:after="70"/>
      </w:pPr>
      <w:r>
        <w:rPr>
          <w:rFonts w:ascii="Calibri" w:cs="Calibri" w:eastAsia="Calibri" w:hAnsi="Calibri"/>
          <w:b/>
          <w:bCs/>
          <w:sz w:val="22"/>
          <w:szCs w:val="22"/>
        </w:rPr>
        <w:t xml:space="preserve">Cover both halves of the work. </w:t>
      </w:r>
      <w:r>
        <w:rPr>
          <w:rFonts w:ascii="Calibri" w:cs="Calibri" w:eastAsia="Calibri" w:hAnsi="Calibri"/>
          <w:b w:val="false"/>
          <w:bCs w:val="false"/>
          <w:sz w:val="22"/>
          <w:szCs w:val="22"/>
        </w:rPr>
        <w:t xml:space="preserve">Hands-on support and coordination are different jobs. The mark should not look like it belongs to only one of them.</w:t>
      </w:r>
    </w:p>
    <w:p>
      <w:pPr>
        <w:pStyle w:val="ListParagraph"/>
        <w:numPr>
          <w:ilvl w:val="0"/>
          <w:numId w:val="2"/>
        </w:numPr>
        <w:spacing w:after="70"/>
      </w:pPr>
      <w:r>
        <w:rPr>
          <w:rFonts w:ascii="Calibri" w:cs="Calibri" w:eastAsia="Calibri" w:hAnsi="Calibri"/>
          <w:b/>
          <w:bCs/>
          <w:sz w:val="22"/>
          <w:szCs w:val="22"/>
        </w:rPr>
        <w:t xml:space="preserve">Carry clinical credibility without a clinical symbol. </w:t>
      </w:r>
      <w:r>
        <w:rPr>
          <w:rFonts w:ascii="Calibri" w:cs="Calibri" w:eastAsia="Calibri" w:hAnsi="Calibri"/>
          <w:b w:val="false"/>
          <w:bCs w:val="false"/>
          <w:sz w:val="22"/>
          <w:szCs w:val="22"/>
        </w:rPr>
        <w:t xml:space="preserve">Nurse-led is our differentiator and referrers need to feel it. Carry it in precision — a mark that is exact, clean and well-built — not in a cross or a stethoscope. Most of the people we support are not sick.</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7.  Colour</w:t>
      </w:r>
    </w:p>
    <w:p>
      <w:pPr>
        <w:spacing w:after="140"/>
      </w:pPr>
      <w:r>
        <w:rPr>
          <w:rFonts w:ascii="Calibri" w:cs="Calibri" w:eastAsia="Calibri" w:hAnsi="Calibri"/>
          <w:b/>
          <w:bCs/>
          <w:i w:val="false"/>
          <w:iCs w:val="false"/>
          <w:sz w:val="22"/>
          <w:szCs w:val="22"/>
        </w:rPr>
        <w:t xml:space="preserve">These six colours are our palette and they must lead the design. </w:t>
      </w:r>
      <w:r>
        <w:rPr>
          <w:rFonts w:ascii="Calibri" w:cs="Calibri" w:eastAsia="Calibri" w:hAnsi="Calibri"/>
          <w:b w:val="false"/>
          <w:bCs w:val="false"/>
          <w:i w:val="false"/>
          <w:iCs w:val="false"/>
          <w:sz w:val="22"/>
          <w:szCs w:val="22"/>
        </w:rPr>
        <w:t xml:space="preserve">You may introduce another colour if it genuinely complements them, but these six should still clearly be the brand. Please do not swap our purple or greens for something else.</w:t>
      </w:r>
    </w:p>
    <w:p>
      <w:pPr>
        <w:spacing w:after="100"/>
      </w:pPr>
      <w:r>
        <w:rPr>
          <w:rFonts w:ascii="Calibri" w:cs="Calibri" w:eastAsia="Calibri" w:hAnsi="Calibri"/>
          <w:sz w:val="12"/>
          <w:szCs w:val="1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6000"/>
      </w:tblGrid>
      <w:tr>
        <w:trPr>
          <w:tblHeader/>
        </w:trPr>
        <w:tc>
          <w:tcPr>
            <w:tcW w:type="dxa" w:w="14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Swatch</w:t>
            </w:r>
          </w:p>
        </w:tc>
        <w:tc>
          <w:tcPr>
            <w:tcW w:type="dxa" w:w="16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Hex</w:t>
            </w:r>
          </w:p>
        </w:tc>
        <w:tc>
          <w:tcPr>
            <w:tcW w:type="dxa" w:w="60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Role</w:t>
            </w:r>
          </w:p>
        </w:tc>
      </w:tr>
      <w:tr>
        <w:tc>
          <w:tcPr>
            <w:tcW w:type="dxa" w:w="1400"/>
            <w:shd w:fill="803E98"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#803E98</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Primary purple — the anchor colour</w:t>
            </w:r>
          </w:p>
        </w:tc>
      </w:tr>
      <w:tr>
        <w:tc>
          <w:tcPr>
            <w:tcW w:type="dxa" w:w="1400"/>
            <w:shd w:fill="88BD8F"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#88BD8F</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Mid sage green — secondary</w:t>
            </w:r>
          </w:p>
        </w:tc>
      </w:tr>
      <w:tr>
        <w:tc>
          <w:tcPr>
            <w:tcW w:type="dxa" w:w="1400"/>
            <w:shd w:fill="A8CFAD"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#A8CFAD</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Light sage green — accent and fill</w:t>
            </w:r>
          </w:p>
        </w:tc>
      </w:tr>
      <w:tr>
        <w:tc>
          <w:tcPr>
            <w:tcW w:type="dxa" w:w="1400"/>
            <w:shd w:fill="131313"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#131313</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Near-black — type, mono version, dark backgrounds</w:t>
            </w:r>
          </w:p>
        </w:tc>
      </w:tr>
      <w:tr>
        <w:tc>
          <w:tcPr>
            <w:tcW w:type="dxa" w:w="1400"/>
            <w:shd w:fill="E8E8E8"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#E8E8E8</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Light grey — backgrounds and neutral fill</w:t>
            </w:r>
          </w:p>
        </w:tc>
      </w:tr>
      <w:tr>
        <w:tc>
          <w:tcPr>
            <w:tcW w:type="dxa" w:w="1400"/>
            <w:shd w:fill="FFFFFF" w:color="auto" w:val="clear"/>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
            </w:r>
          </w:p>
        </w:tc>
        <w:tc>
          <w:tcPr>
            <w:tcW w:type="dxa" w:w="1600"/>
            <w:tcMar>
              <w:top w:type="dxa" w:w="80"/>
              <w:left w:type="dxa" w:w="120"/>
              <w:bottom w:type="dxa" w:w="80"/>
              <w:right w:type="dxa" w:w="120"/>
            </w:tcMar>
          </w:tcPr>
          <w:p>
            <w:pPr>
              <w:spacing w:after="0"/>
            </w:pPr>
            <w:r>
              <w:rPr>
                <w:rFonts w:ascii="Calibri" w:cs="Calibri" w:eastAsia="Calibri" w:hAnsi="Calibri"/>
                <w:b/>
                <w:bCs/>
                <w:sz w:val="20"/>
                <w:szCs w:val="20"/>
              </w:rPr>
              <w:t xml:space="preserve">#FFFFFF</w:t>
            </w:r>
          </w:p>
        </w:tc>
        <w:tc>
          <w:tcPr>
            <w:tcW w:type="dxa" w:w="60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White — reversed version and negative space</w:t>
            </w:r>
          </w:p>
        </w:tc>
      </w:tr>
    </w:tbl>
    <w:p>
      <w:pPr>
        <w:spacing w:after="100"/>
      </w:pPr>
      <w:r>
        <w:rPr>
          <w:rFonts w:ascii="Calibri" w:cs="Calibri" w:eastAsia="Calibri" w:hAnsi="Calibri"/>
          <w:sz w:val="12"/>
          <w:szCs w:val="12"/>
        </w:rPr>
        <w:t xml:space="preserve"/>
      </w:r>
    </w:p>
    <w:p>
      <w:pPr>
        <w:spacing w:after="140"/>
      </w:pPr>
      <w:r>
        <w:rPr>
          <w:rFonts w:ascii="Calibri" w:cs="Calibri" w:eastAsia="Calibri" w:hAnsi="Calibri"/>
          <w:b/>
          <w:bCs/>
          <w:i w:val="false"/>
          <w:iCs w:val="false"/>
          <w:sz w:val="22"/>
          <w:szCs w:val="22"/>
        </w:rPr>
        <w:t xml:space="preserve">A lot of the people looking at this have low vision, so a few notes:</w:t>
      </w:r>
    </w:p>
    <w:p>
      <w:pPr>
        <w:pStyle w:val="ListParagraph"/>
        <w:numPr>
          <w:ilvl w:val="0"/>
          <w:numId w:val="2"/>
        </w:numPr>
        <w:spacing w:after="70"/>
      </w:pPr>
      <w:r>
        <w:rPr>
          <w:rFonts w:ascii="Calibri" w:cs="Calibri" w:eastAsia="Calibri" w:hAnsi="Calibri"/>
          <w:sz w:val="22"/>
          <w:szCs w:val="22"/>
        </w:rPr>
        <w:t xml:space="preserve">#803E98 on white has enough contrast for text. Use it for the wordmark on a light background.</w:t>
      </w:r>
    </w:p>
    <w:p>
      <w:pPr>
        <w:pStyle w:val="ListParagraph"/>
        <w:numPr>
          <w:ilvl w:val="0"/>
          <w:numId w:val="2"/>
        </w:numPr>
        <w:spacing w:after="70"/>
      </w:pPr>
      <w:r>
        <w:rPr>
          <w:rFonts w:ascii="Calibri" w:cs="Calibri" w:eastAsia="Calibri" w:hAnsi="Calibri"/>
          <w:sz w:val="22"/>
          <w:szCs w:val="22"/>
        </w:rPr>
        <w:t xml:space="preserve">The two greens do not have enough contrast for text on white. Use them as fills and accents, never for the business name.</w:t>
      </w:r>
    </w:p>
    <w:p>
      <w:pPr>
        <w:pStyle w:val="ListParagraph"/>
        <w:numPr>
          <w:ilvl w:val="0"/>
          <w:numId w:val="2"/>
        </w:numPr>
        <w:spacing w:after="70"/>
      </w:pPr>
      <w:r>
        <w:rPr>
          <w:rFonts w:ascii="Calibri" w:cs="Calibri" w:eastAsia="Calibri" w:hAnsi="Calibri"/>
          <w:sz w:val="22"/>
          <w:szCs w:val="22"/>
        </w:rPr>
        <w:t xml:space="preserve">On #131313, use white or #88BD8F. Purple on near-black is not legible.</w:t>
      </w:r>
    </w:p>
    <w:p>
      <w:pPr>
        <w:pStyle w:val="ListParagraph"/>
        <w:numPr>
          <w:ilvl w:val="0"/>
          <w:numId w:val="2"/>
        </w:numPr>
        <w:spacing w:after="70"/>
      </w:pPr>
      <w:r>
        <w:rPr>
          <w:rFonts w:ascii="Calibri" w:cs="Calibri" w:eastAsia="Calibri" w:hAnsi="Calibri"/>
          <w:sz w:val="22"/>
          <w:szCs w:val="22"/>
        </w:rPr>
        <w:t xml:space="preserve">The mark must not rely on the purple and green being told apart — some people will not separate them. It has to survive being flattened to one colour.</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8.  Style and type</w:t>
      </w:r>
    </w:p>
    <w:p>
      <w:pPr>
        <w:pStyle w:val="ListParagraph"/>
        <w:numPr>
          <w:ilvl w:val="0"/>
          <w:numId w:val="2"/>
        </w:numPr>
        <w:spacing w:after="70"/>
      </w:pPr>
      <w:r>
        <w:rPr>
          <w:rFonts w:ascii="Calibri" w:cs="Calibri" w:eastAsia="Calibri" w:hAnsi="Calibri"/>
          <w:sz w:val="22"/>
          <w:szCs w:val="22"/>
        </w:rPr>
        <w:t xml:space="preserve">Credible and respectful. We support people from early childhood through to old age, and none of them should feel talked down to by our branding.</w:t>
      </w:r>
    </w:p>
    <w:p>
      <w:pPr>
        <w:pStyle w:val="ListParagraph"/>
        <w:numPr>
          <w:ilvl w:val="0"/>
          <w:numId w:val="2"/>
        </w:numPr>
        <w:spacing w:after="70"/>
      </w:pPr>
      <w:r>
        <w:rPr>
          <w:rFonts w:ascii="Calibri" w:cs="Calibri" w:eastAsia="Calibri" w:hAnsi="Calibri"/>
          <w:sz w:val="22"/>
          <w:szCs w:val="22"/>
        </w:rPr>
        <w:t xml:space="preserve">Warm, but not soft. Confident, not corporate.</w:t>
      </w:r>
    </w:p>
    <w:p>
      <w:pPr>
        <w:pStyle w:val="ListParagraph"/>
        <w:numPr>
          <w:ilvl w:val="0"/>
          <w:numId w:val="2"/>
        </w:numPr>
        <w:spacing w:after="70"/>
      </w:pPr>
      <w:r>
        <w:rPr>
          <w:rFonts w:ascii="Calibri" w:cs="Calibri" w:eastAsia="Calibri" w:hAnsi="Calibri"/>
          <w:sz w:val="22"/>
          <w:szCs w:val="22"/>
        </w:rPr>
        <w:t xml:space="preserve">Simple geometry that holds up small. If it needs explaining, it is too complex.</w:t>
      </w:r>
    </w:p>
    <w:p>
      <w:pPr>
        <w:pStyle w:val="ListParagraph"/>
        <w:numPr>
          <w:ilvl w:val="0"/>
          <w:numId w:val="2"/>
        </w:numPr>
        <w:spacing w:after="70"/>
      </w:pPr>
      <w:r>
        <w:rPr>
          <w:rFonts w:ascii="Calibri" w:cs="Calibri" w:eastAsia="Calibri" w:hAnsi="Calibri"/>
          <w:sz w:val="22"/>
          <w:szCs w:val="22"/>
        </w:rPr>
        <w:t xml:space="preserve">Flat vector. No gradients, bevels, drop shadows, 3D or fine hairlines.</w:t>
      </w:r>
    </w:p>
    <w:p>
      <w:pPr>
        <w:pStyle w:val="ListParagraph"/>
        <w:numPr>
          <w:ilvl w:val="0"/>
          <w:numId w:val="2"/>
        </w:numPr>
        <w:spacing w:after="70"/>
      </w:pPr>
      <w:r>
        <w:rPr>
          <w:rFonts w:ascii="Calibri" w:cs="Calibri" w:eastAsia="Calibri" w:hAnsi="Calibri"/>
          <w:sz w:val="22"/>
          <w:szCs w:val="22"/>
        </w:rPr>
        <w:t xml:space="preserve">A clean humanist sans-serif for the wordmark — warm and readable.</w:t>
      </w:r>
    </w:p>
    <w:p>
      <w:pPr>
        <w:pStyle w:val="ListParagraph"/>
        <w:numPr>
          <w:ilvl w:val="0"/>
          <w:numId w:val="2"/>
        </w:numPr>
        <w:spacing w:after="70"/>
      </w:pPr>
      <w:r>
        <w:rPr>
          <w:rFonts w:ascii="Calibri" w:cs="Calibri" w:eastAsia="Calibri" w:hAnsi="Calibri"/>
          <w:sz w:val="22"/>
          <w:szCs w:val="22"/>
        </w:rPr>
        <w:t xml:space="preserve">Warmth is welcome. Cuteness is not. No rounded, bubbly or handwritten type — a mark that talks down to a seven-year-old also talks down to his mother, and to the young man wearing it in his own kitchen.</w:t>
      </w:r>
    </w:p>
    <w:p>
      <w:pPr>
        <w:pStyle w:val="ListParagraph"/>
        <w:numPr>
          <w:ilvl w:val="0"/>
          <w:numId w:val="2"/>
        </w:numPr>
        <w:spacing w:after="70"/>
      </w:pPr>
      <w:r>
        <w:rPr>
          <w:rFonts w:ascii="Calibri" w:cs="Calibri" w:eastAsia="Calibri" w:hAnsi="Calibri"/>
          <w:sz w:val="22"/>
          <w:szCs w:val="22"/>
        </w:rPr>
        <w:t xml:space="preserve">Nothing ornate, condensed or hard to read small.</w:t>
      </w:r>
    </w:p>
    <w:p>
      <w:pPr>
        <w:pStyle w:val="ListParagraph"/>
        <w:numPr>
          <w:ilvl w:val="0"/>
          <w:numId w:val="2"/>
        </w:numPr>
        <w:spacing w:after="70"/>
      </w:pPr>
      <w:r>
        <w:rPr>
          <w:rFonts w:ascii="Calibri" w:cs="Calibri" w:eastAsia="Calibri" w:hAnsi="Calibri"/>
          <w:sz w:val="22"/>
          <w:szCs w:val="22"/>
        </w:rPr>
        <w:t xml:space="preserve">Tell us the font names and whether they are free or need a licence, so we can use them ourselves.</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9.  Please don’t use</w:t>
      </w:r>
    </w:p>
    <w:p>
      <w:pPr>
        <w:spacing w:after="140"/>
      </w:pPr>
      <w:r>
        <w:rPr>
          <w:rFonts w:ascii="Calibri" w:cs="Calibri" w:eastAsia="Calibri" w:hAnsi="Calibri"/>
          <w:b/>
          <w:bCs/>
          <w:i w:val="false"/>
          <w:iCs w:val="false"/>
          <w:sz w:val="22"/>
          <w:szCs w:val="22"/>
        </w:rPr>
        <w:t xml:space="preserve">These come up constantly in our sector. Several are actively rejected by the people we support. An entry with any of them will not win.</w:t>
      </w:r>
    </w:p>
    <w:p>
      <w:pPr>
        <w:pStyle w:val="ListParagraph"/>
        <w:numPr>
          <w:ilvl w:val="0"/>
          <w:numId w:val="2"/>
        </w:numPr>
        <w:spacing w:after="70"/>
      </w:pPr>
      <w:r>
        <w:rPr>
          <w:rFonts w:ascii="Calibri" w:cs="Calibri" w:eastAsia="Calibri" w:hAnsi="Calibri"/>
          <w:sz w:val="22"/>
          <w:szCs w:val="22"/>
        </w:rPr>
        <w:t xml:space="preserve">Puzzle pieces, in any form. Autistic people widely reject this as a symbol suggesting something is missing.</w:t>
      </w:r>
    </w:p>
    <w:p>
      <w:pPr>
        <w:pStyle w:val="ListParagraph"/>
        <w:numPr>
          <w:ilvl w:val="0"/>
          <w:numId w:val="2"/>
        </w:numPr>
        <w:spacing w:after="70"/>
      </w:pPr>
      <w:r>
        <w:rPr>
          <w:rFonts w:ascii="Calibri" w:cs="Calibri" w:eastAsia="Calibri" w:hAnsi="Calibri"/>
          <w:sz w:val="22"/>
          <w:szCs w:val="22"/>
        </w:rPr>
        <w:t xml:space="preserve">The rainbow infinity symbol. It belongs to the neurodiversity movement and is not ours to take commercially.</w:t>
      </w:r>
    </w:p>
    <w:p>
      <w:pPr>
        <w:pStyle w:val="ListParagraph"/>
        <w:numPr>
          <w:ilvl w:val="0"/>
          <w:numId w:val="2"/>
        </w:numPr>
        <w:spacing w:after="70"/>
      </w:pPr>
      <w:r>
        <w:rPr>
          <w:rFonts w:ascii="Calibri" w:cs="Calibri" w:eastAsia="Calibri" w:hAnsi="Calibri"/>
          <w:sz w:val="22"/>
          <w:szCs w:val="22"/>
        </w:rPr>
        <w:t xml:space="preserve">Cupped, cradling or helping hands. It makes the person something being held rather than someone choosing.</w:t>
      </w:r>
    </w:p>
    <w:p>
      <w:pPr>
        <w:pStyle w:val="ListParagraph"/>
        <w:numPr>
          <w:ilvl w:val="0"/>
          <w:numId w:val="2"/>
        </w:numPr>
        <w:spacing w:after="70"/>
      </w:pPr>
      <w:r>
        <w:rPr>
          <w:rFonts w:ascii="Calibri" w:cs="Calibri" w:eastAsia="Calibri" w:hAnsi="Calibri"/>
          <w:sz w:val="22"/>
          <w:szCs w:val="22"/>
        </w:rPr>
        <w:t xml:space="preserve">Medical crosses, stethoscopes, caducei or heartbeat lines. We are proud of being nurse-led, but most people we support are not sick.</w:t>
      </w:r>
    </w:p>
    <w:p>
      <w:pPr>
        <w:pStyle w:val="ListParagraph"/>
        <w:numPr>
          <w:ilvl w:val="0"/>
          <w:numId w:val="2"/>
        </w:numPr>
        <w:spacing w:after="70"/>
      </w:pPr>
      <w:r>
        <w:rPr>
          <w:rFonts w:ascii="Calibri" w:cs="Calibri" w:eastAsia="Calibri" w:hAnsi="Calibri"/>
          <w:sz w:val="22"/>
          <w:szCs w:val="22"/>
        </w:rPr>
        <w:t xml:space="preserve">The international wheelchair symbol as the main mark.</w:t>
      </w:r>
    </w:p>
    <w:p>
      <w:pPr>
        <w:pStyle w:val="ListParagraph"/>
        <w:numPr>
          <w:ilvl w:val="0"/>
          <w:numId w:val="2"/>
        </w:numPr>
        <w:spacing w:after="70"/>
      </w:pPr>
      <w:r>
        <w:rPr>
          <w:rFonts w:ascii="Calibri" w:cs="Calibri" w:eastAsia="Calibri" w:hAnsi="Calibri"/>
          <w:sz w:val="22"/>
          <w:szCs w:val="22"/>
        </w:rPr>
        <w:t xml:space="preserve">Hearts, butterflies, awareness ribbons, doves, sunrises.</w:t>
      </w:r>
    </w:p>
    <w:p>
      <w:pPr>
        <w:pStyle w:val="ListParagraph"/>
        <w:numPr>
          <w:ilvl w:val="0"/>
          <w:numId w:val="2"/>
        </w:numPr>
        <w:spacing w:after="70"/>
      </w:pPr>
      <w:r>
        <w:rPr>
          <w:rFonts w:ascii="Calibri" w:cs="Calibri" w:eastAsia="Calibri" w:hAnsi="Calibri"/>
          <w:sz w:val="22"/>
          <w:szCs w:val="22"/>
        </w:rPr>
        <w:t xml:space="preserve">Generic swooshes, orbiting abstract people, or circles of figures holding hands.</w:t>
      </w:r>
    </w:p>
    <w:p>
      <w:pPr>
        <w:pStyle w:val="ListParagraph"/>
        <w:numPr>
          <w:ilvl w:val="0"/>
          <w:numId w:val="2"/>
        </w:numPr>
        <w:spacing w:after="70"/>
      </w:pPr>
      <w:r>
        <w:rPr>
          <w:rFonts w:ascii="Calibri" w:cs="Calibri" w:eastAsia="Calibri" w:hAnsi="Calibri"/>
          <w:sz w:val="22"/>
          <w:szCs w:val="22"/>
        </w:rPr>
        <w:t xml:space="preserve">Stock icons or clip art. The mark must be original.</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10.  Where it has to work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5600"/>
      </w:tblGrid>
      <w:tr>
        <w:trPr>
          <w:tblHeader/>
        </w:trPr>
        <w:tc>
          <w:tcPr>
            <w:tcW w:type="dxa" w:w="34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Application</w:t>
            </w:r>
          </w:p>
        </w:tc>
        <w:tc>
          <w:tcPr>
            <w:tcW w:type="dxa" w:w="5600"/>
            <w:shd w:fill="2E4E4E" w:color="auto" w:val="clear"/>
            <w:tcMar>
              <w:top w:type="dxa" w:w="80"/>
              <w:left w:type="dxa" w:w="120"/>
              <w:bottom w:type="dxa" w:w="80"/>
              <w:right w:type="dxa" w:w="120"/>
            </w:tcMar>
          </w:tcPr>
          <w:p>
            <w:pPr>
              <w:spacing w:after="0"/>
            </w:pPr>
            <w:r>
              <w:rPr>
                <w:rFonts w:ascii="Calibri" w:cs="Calibri" w:eastAsia="Calibri" w:hAnsi="Calibri"/>
                <w:b/>
                <w:bCs/>
                <w:color w:val="FFFFFF"/>
                <w:sz w:val="20"/>
                <w:szCs w:val="20"/>
              </w:rPr>
              <w:t xml:space="preserve">What that demands</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Polo shirt embroidery</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One colour, no fine line work, legible at about 40mm wide — worn into homes, schools and hospitals</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ID badges and lanyards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Icon legible at about 20mm</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Vehicle signage and magnets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Readable at distance, high contrast</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Profile pictures and app icons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Square and circular crops — the icon alone has to stand up</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Email signature and letterhead</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Horizontal lockup</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Invoices and formal documents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Clean single-colour black version</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Supported living home signage</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Discreet. These are homes, not facilities — the mark should not announce an address as a service site.</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Group program material and flyers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Has to look inviting to someone deciding whether to walk in the door</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Material for GPs, hospitals and allied health</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Has to read as clinically credible to professionals</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Website and search results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Considered and trustworthy at thumbnail size, next to competitors</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Job ads</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Has to look like somewhere good workers would want to work</w:t>
            </w:r>
          </w:p>
        </w:tc>
      </w:tr>
      <w:tr>
        <w:tc>
          <w:tcPr>
            <w:tcW w:type="dxa" w:w="34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Social media</w:t>
            </w:r>
          </w:p>
        </w:tc>
        <w:tc>
          <w:tcPr>
            <w:tcW w:type="dxa" w:w="5600"/>
            <w:tcMar>
              <w:top w:type="dxa" w:w="80"/>
              <w:left w:type="dxa" w:w="120"/>
              <w:bottom w:type="dxa" w:w="80"/>
              <w:right w:type="dxa" w:w="120"/>
            </w:tcMar>
          </w:tcPr>
          <w:p>
            <w:pPr>
              <w:spacing w:after="0"/>
            </w:pPr>
            <w:r>
              <w:rPr>
                <w:rFonts w:ascii="Calibri" w:cs="Calibri" w:eastAsia="Calibri" w:hAnsi="Calibri"/>
                <w:b w:val="false"/>
                <w:bCs w:val="false"/>
                <w:sz w:val="20"/>
                <w:szCs w:val="20"/>
              </w:rPr>
              <w:t xml:space="preserve">Profile crop plus banner</w:t>
            </w:r>
          </w:p>
        </w:tc>
      </w:tr>
    </w:tbl>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11.  What we need from the winner</w:t>
      </w:r>
    </w:p>
    <w:p>
      <w:pPr>
        <w:pStyle w:val="ListParagraph"/>
        <w:numPr>
          <w:ilvl w:val="0"/>
          <w:numId w:val="2"/>
        </w:numPr>
        <w:spacing w:after="70"/>
      </w:pPr>
      <w:r>
        <w:rPr>
          <w:rFonts w:ascii="Calibri" w:cs="Calibri" w:eastAsia="Calibri" w:hAnsi="Calibri"/>
          <w:sz w:val="22"/>
          <w:szCs w:val="22"/>
        </w:rPr>
        <w:t xml:space="preserve">Editable vector source files (.AI or .EPS)</w:t>
      </w:r>
    </w:p>
    <w:p>
      <w:pPr>
        <w:pStyle w:val="ListParagraph"/>
        <w:numPr>
          <w:ilvl w:val="0"/>
          <w:numId w:val="2"/>
        </w:numPr>
        <w:spacing w:after="70"/>
      </w:pPr>
      <w:r>
        <w:rPr>
          <w:rFonts w:ascii="Calibri" w:cs="Calibri" w:eastAsia="Calibri" w:hAnsi="Calibri"/>
          <w:sz w:val="22"/>
          <w:szCs w:val="22"/>
        </w:rPr>
        <w:t xml:space="preserve">.SVG</w:t>
      </w:r>
    </w:p>
    <w:p>
      <w:pPr>
        <w:pStyle w:val="ListParagraph"/>
        <w:numPr>
          <w:ilvl w:val="0"/>
          <w:numId w:val="2"/>
        </w:numPr>
        <w:spacing w:after="70"/>
      </w:pPr>
      <w:r>
        <w:rPr>
          <w:rFonts w:ascii="Calibri" w:cs="Calibri" w:eastAsia="Calibri" w:hAnsi="Calibri"/>
          <w:sz w:val="22"/>
          <w:szCs w:val="22"/>
        </w:rPr>
        <w:t xml:space="preserve">.PNG with transparent background, several sizes</w:t>
      </w:r>
    </w:p>
    <w:p>
      <w:pPr>
        <w:pStyle w:val="ListParagraph"/>
        <w:numPr>
          <w:ilvl w:val="0"/>
          <w:numId w:val="2"/>
        </w:numPr>
        <w:spacing w:after="70"/>
      </w:pPr>
      <w:r>
        <w:rPr>
          <w:rFonts w:ascii="Calibri" w:cs="Calibri" w:eastAsia="Calibri" w:hAnsi="Calibri"/>
          <w:sz w:val="22"/>
          <w:szCs w:val="22"/>
        </w:rPr>
        <w:t xml:space="preserve">Full colour, single-colour black, and reversed white versions</w:t>
      </w:r>
    </w:p>
    <w:p>
      <w:pPr>
        <w:pStyle w:val="ListParagraph"/>
        <w:numPr>
          <w:ilvl w:val="0"/>
          <w:numId w:val="2"/>
        </w:numPr>
        <w:spacing w:after="70"/>
      </w:pPr>
      <w:r>
        <w:rPr>
          <w:rFonts w:ascii="Calibri" w:cs="Calibri" w:eastAsia="Calibri" w:hAnsi="Calibri"/>
          <w:sz w:val="22"/>
          <w:szCs w:val="22"/>
        </w:rPr>
        <w:t xml:space="preserve">Horizontal lockup, stacked lockup, and the icon on its own</w:t>
      </w:r>
    </w:p>
    <w:p>
      <w:pPr>
        <w:pStyle w:val="ListParagraph"/>
        <w:numPr>
          <w:ilvl w:val="0"/>
          <w:numId w:val="2"/>
        </w:numPr>
        <w:spacing w:after="70"/>
      </w:pPr>
      <w:r>
        <w:rPr>
          <w:rFonts w:ascii="Calibri" w:cs="Calibri" w:eastAsia="Calibri" w:hAnsi="Calibri"/>
          <w:sz w:val="22"/>
          <w:szCs w:val="22"/>
        </w:rPr>
        <w:t xml:space="preserve">Square favicon and avatar crop</w:t>
      </w:r>
    </w:p>
    <w:p>
      <w:pPr>
        <w:pStyle w:val="ListParagraph"/>
        <w:numPr>
          <w:ilvl w:val="0"/>
          <w:numId w:val="2"/>
        </w:numPr>
        <w:spacing w:after="70"/>
      </w:pPr>
      <w:r>
        <w:rPr>
          <w:rFonts w:ascii="Calibri" w:cs="Calibri" w:eastAsia="Calibri" w:hAnsi="Calibri"/>
          <w:sz w:val="22"/>
          <w:szCs w:val="22"/>
        </w:rPr>
        <w:t xml:space="preserve">Colour codes as HEX, RGB, CMYK and Pantone</w:t>
      </w:r>
    </w:p>
    <w:p>
      <w:pPr>
        <w:pStyle w:val="ListParagraph"/>
        <w:numPr>
          <w:ilvl w:val="0"/>
          <w:numId w:val="2"/>
        </w:numPr>
        <w:spacing w:after="70"/>
      </w:pPr>
      <w:r>
        <w:rPr>
          <w:rFonts w:ascii="Calibri" w:cs="Calibri" w:eastAsia="Calibri" w:hAnsi="Calibri"/>
          <w:sz w:val="22"/>
          <w:szCs w:val="22"/>
        </w:rPr>
        <w:t xml:space="preserve">Font names and licence status</w:t>
      </w:r>
    </w:p>
    <w:p>
      <w:pPr>
        <w:pStyle w:val="ListParagraph"/>
        <w:numPr>
          <w:ilvl w:val="0"/>
          <w:numId w:val="2"/>
        </w:numPr>
        <w:spacing w:after="70"/>
      </w:pPr>
      <w:r>
        <w:rPr>
          <w:rFonts w:ascii="Calibri" w:cs="Calibri" w:eastAsia="Calibri" w:hAnsi="Calibri"/>
          <w:sz w:val="22"/>
          <w:szCs w:val="22"/>
        </w:rPr>
        <w:t xml:space="preserve">Full transfer of copyright and intellectual property in the winning design</w:t>
      </w:r>
    </w:p>
    <w:p>
      <w:pPr>
        <w:spacing w:after="100"/>
      </w:pPr>
      <w:r>
        <w:rPr>
          <w:rFonts w:ascii="Calibri" w:cs="Calibri" w:eastAsia="Calibri" w:hAnsi="Calibri"/>
          <w:sz w:val="12"/>
          <w:szCs w:val="12"/>
        </w:rPr>
        <w:t xml:space="preserve"/>
      </w:r>
    </w:p>
    <w:p>
      <w:pPr>
        <w:pStyle w:val="Heading1"/>
        <w:spacing w:after="140" w:before="300"/>
      </w:pPr>
      <w:r>
        <w:rPr>
          <w:rFonts w:ascii="Calibri" w:cs="Calibri" w:eastAsia="Calibri" w:hAnsi="Calibri"/>
          <w:b/>
          <w:bCs/>
          <w:color w:val="2E4E4E"/>
          <w:sz w:val="32"/>
          <w:szCs w:val="32"/>
        </w:rPr>
        <w:t xml:space="preserve">12.  How we will choose</w:t>
      </w:r>
    </w:p>
    <w:p>
      <w:pPr>
        <w:spacing w:after="140"/>
      </w:pPr>
      <w:r>
        <w:rPr>
          <w:rFonts w:ascii="Calibri" w:cs="Calibri" w:eastAsia="Calibri" w:hAnsi="Calibri"/>
          <w:b w:val="false"/>
          <w:bCs w:val="false"/>
          <w:i/>
          <w:iCs/>
          <w:sz w:val="22"/>
          <w:szCs w:val="22"/>
        </w:rPr>
        <w:t xml:space="preserve">So you know what we are looking for before you start.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F4F4F4" w:color="auto" w:val="clear"/>
            <w:tcMar>
              <w:top w:type="dxa" w:w="180"/>
              <w:left w:type="dxa" w:w="220"/>
              <w:bottom w:type="dxa" w:w="180"/>
              <w:right w:type="dxa" w:w="220"/>
            </w:tcMar>
          </w:tcPr>
          <w:p>
            <w:pPr>
              <w:spacing w:after="120"/>
            </w:pPr>
            <w:r>
              <w:rPr>
                <w:rFonts w:ascii="Calibri" w:cs="Calibri" w:eastAsia="Calibri" w:hAnsi="Calibri"/>
                <w:b w:val="false"/>
                <w:bCs w:val="false"/>
                <w:i w:val="false"/>
                <w:iCs w:val="false"/>
                <w:sz w:val="22"/>
                <w:szCs w:val="22"/>
              </w:rPr>
              <w:t xml:space="preserve">We will pick the entry that:</w:t>
            </w:r>
          </w:p>
          <w:p>
            <w:pPr>
              <w:spacing w:after="120"/>
            </w:pPr>
            <w:r>
              <w:rPr>
                <w:rFonts w:ascii="Calibri" w:cs="Calibri" w:eastAsia="Calibri" w:hAnsi="Calibri"/>
                <w:b w:val="false"/>
                <w:bCs w:val="false"/>
                <w:i w:val="false"/>
                <w:iCs w:val="false"/>
                <w:sz w:val="22"/>
                <w:szCs w:val="22"/>
              </w:rPr>
              <w:t xml:space="preserve">— still works printed in one colour at 20mm wide</w:t>
            </w:r>
          </w:p>
          <w:p>
            <w:pPr>
              <w:spacing w:after="120"/>
            </w:pPr>
            <w:r>
              <w:rPr>
                <w:rFonts w:ascii="Calibri" w:cs="Calibri" w:eastAsia="Calibri" w:hAnsi="Calibri"/>
                <w:b w:val="false"/>
                <w:bCs w:val="false"/>
                <w:i w:val="false"/>
                <w:iCs w:val="false"/>
                <w:sz w:val="22"/>
                <w:szCs w:val="22"/>
              </w:rPr>
              <w:t xml:space="preserve">— avoids everything on the "please don’t" list</w:t>
            </w:r>
          </w:p>
          <w:p>
            <w:pPr>
              <w:spacing w:after="120"/>
            </w:pPr>
            <w:r>
              <w:rPr>
                <w:rFonts w:ascii="Calibri" w:cs="Calibri" w:eastAsia="Calibri" w:hAnsi="Calibri"/>
                <w:b w:val="false"/>
                <w:bCs w:val="false"/>
                <w:i w:val="false"/>
                <w:iCs w:val="false"/>
                <w:sz w:val="22"/>
                <w:szCs w:val="22"/>
              </w:rPr>
              <w:t xml:space="preserve">— says different paths without literally depicting disability</w:t>
            </w:r>
          </w:p>
          <w:p>
            <w:pPr>
              <w:spacing w:after="120"/>
            </w:pPr>
            <w:r>
              <w:rPr>
                <w:rFonts w:ascii="Calibri" w:cs="Calibri" w:eastAsia="Calibri" w:hAnsi="Calibri"/>
                <w:b w:val="false"/>
                <w:bCs w:val="false"/>
                <w:i w:val="false"/>
                <w:iCs w:val="false"/>
                <w:sz w:val="22"/>
                <w:szCs w:val="22"/>
              </w:rPr>
              <w:t xml:space="preserve">— reads as steady and capable, so a family can trust it on a hard night</w:t>
            </w:r>
          </w:p>
          <w:p>
            <w:pPr>
              <w:spacing w:after="120"/>
            </w:pPr>
            <w:r>
              <w:rPr>
                <w:rFonts w:ascii="Calibri" w:cs="Calibri" w:eastAsia="Calibri" w:hAnsi="Calibri"/>
                <w:b w:val="false"/>
                <w:bCs w:val="false"/>
                <w:i w:val="false"/>
                <w:iCs w:val="false"/>
                <w:sz w:val="22"/>
                <w:szCs w:val="22"/>
              </w:rPr>
              <w:t xml:space="preserve">— has some warmth in it, because we actually love this work</w:t>
            </w:r>
          </w:p>
          <w:p>
            <w:pPr>
              <w:spacing w:after="120"/>
            </w:pPr>
            <w:r>
              <w:rPr>
                <w:rFonts w:ascii="Calibri" w:cs="Calibri" w:eastAsia="Calibri" w:hAnsi="Calibri"/>
                <w:b w:val="false"/>
                <w:bCs w:val="false"/>
                <w:i w:val="false"/>
                <w:iCs w:val="false"/>
                <w:sz w:val="22"/>
                <w:szCs w:val="22"/>
              </w:rPr>
              <w:t xml:space="preserve">— works for a seven-year-old and an eighty-year-old without pandering to either</w:t>
            </w:r>
          </w:p>
          <w:p>
            <w:pPr>
              <w:spacing w:after="0"/>
            </w:pPr>
            <w:r>
              <w:rPr>
                <w:rFonts w:ascii="Calibri" w:cs="Calibri" w:eastAsia="Calibri" w:hAnsi="Calibri"/>
                <w:b w:val="false"/>
                <w:bCs w:val="false"/>
                <w:i w:val="false"/>
                <w:iCs w:val="false"/>
                <w:sz w:val="22"/>
                <w:szCs w:val="22"/>
              </w:rPr>
              <w:t xml:space="preserve">— is recognisable straight away cropped into a circle</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2026-08-06T06:02:04.009Z</dcterms:created>
  <dcterms:modified xsi:type="dcterms:W3CDTF">2026-08-06T06:02:04.027Z</dcterms:modified>
</cp:coreProperties>
</file>

<file path=docProps/custom.xml><?xml version="1.0" encoding="utf-8"?>
<Properties xmlns="http://schemas.openxmlformats.org/officeDocument/2006/custom-properties" xmlns:vt="http://schemas.openxmlformats.org/officeDocument/2006/docPropsVTypes"/>
</file>