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7119" w14:textId="77777777" w:rsidR="00F53719" w:rsidRDefault="00000000">
      <w:pPr>
        <w:spacing w:after="60"/>
      </w:pPr>
      <w:r>
        <w:rPr>
          <w:b/>
          <w:bCs/>
          <w:caps/>
          <w:color w:val="06080C"/>
          <w:sz w:val="52"/>
          <w:szCs w:val="52"/>
        </w:rPr>
        <w:t>EDGECRAFT</w:t>
      </w:r>
    </w:p>
    <w:p w14:paraId="0606A27A" w14:textId="77777777" w:rsidR="00F53719" w:rsidRDefault="00000000">
      <w:pPr>
        <w:spacing w:after="40"/>
      </w:pPr>
      <w:r>
        <w:rPr>
          <w:color w:val="6B7280"/>
          <w:sz w:val="28"/>
          <w:szCs w:val="28"/>
        </w:rPr>
        <w:t>Logo Design Brief</w:t>
      </w:r>
    </w:p>
    <w:p w14:paraId="4793E65B" w14:textId="77777777" w:rsidR="00F53719" w:rsidRDefault="00000000">
      <w:pPr>
        <w:pBdr>
          <w:bottom w:val="single" w:sz="8" w:space="6" w:color="00D4AA"/>
        </w:pBdr>
      </w:pPr>
      <w:r>
        <w:rPr>
          <w:color w:val="8892A8"/>
          <w:sz w:val="18"/>
          <w:szCs w:val="18"/>
        </w:rPr>
        <w:t>Prepared for Designer — June 2026</w:t>
      </w:r>
    </w:p>
    <w:p w14:paraId="0FF90834" w14:textId="77777777" w:rsidR="00F53719" w:rsidRDefault="00F53719">
      <w:pPr>
        <w:spacing w:line="320" w:lineRule="auto"/>
      </w:pPr>
    </w:p>
    <w:p w14:paraId="5FBC6FE1" w14:textId="77777777" w:rsidR="00F53719" w:rsidRDefault="00000000">
      <w:pPr>
        <w:pBdr>
          <w:bottom w:val="single" w:sz="6" w:space="4" w:color="00D4AA"/>
        </w:pBdr>
        <w:spacing w:before="320" w:after="80"/>
      </w:pPr>
      <w:r>
        <w:rPr>
          <w:b/>
          <w:bCs/>
          <w:caps/>
          <w:color w:val="111827"/>
          <w:spacing w:val="30"/>
          <w:sz w:val="22"/>
          <w:szCs w:val="22"/>
        </w:rPr>
        <w:t>1. Brand Name</w:t>
      </w:r>
    </w:p>
    <w:p w14:paraId="5B1D0565" w14:textId="77777777" w:rsidR="00F53719" w:rsidRDefault="00000000">
      <w:pPr>
        <w:spacing w:after="80"/>
      </w:pPr>
      <w:r>
        <w:rPr>
          <w:color w:val="374151"/>
        </w:rPr>
        <w:t>EdgeCraft</w:t>
      </w:r>
    </w:p>
    <w:p w14:paraId="0364DACC" w14:textId="77777777" w:rsidR="00F53719" w:rsidRDefault="00000000">
      <w:pPr>
        <w:spacing w:after="80"/>
      </w:pPr>
      <w:r>
        <w:rPr>
          <w:color w:val="374151"/>
        </w:rPr>
        <w:t>Presented as a single compound word. The name belongs to the fund and strategy — not the parent group entity (EdgeCraft Group Capital Management LLC).</w:t>
      </w:r>
    </w:p>
    <w:p w14:paraId="4F2A7530" w14:textId="77777777" w:rsidR="00F53719" w:rsidRDefault="00F53719">
      <w:pPr>
        <w:spacing w:line="160" w:lineRule="auto"/>
      </w:pPr>
    </w:p>
    <w:p w14:paraId="2ADE8B4E" w14:textId="77777777" w:rsidR="00F53719" w:rsidRDefault="00000000">
      <w:pPr>
        <w:pBdr>
          <w:bottom w:val="single" w:sz="6" w:space="4" w:color="00D4AA"/>
        </w:pBdr>
        <w:spacing w:before="320" w:after="80"/>
      </w:pPr>
      <w:r>
        <w:rPr>
          <w:b/>
          <w:bCs/>
          <w:caps/>
          <w:color w:val="111827"/>
          <w:spacing w:val="30"/>
          <w:sz w:val="22"/>
          <w:szCs w:val="22"/>
        </w:rPr>
        <w:t>2. What We Do</w:t>
      </w:r>
    </w:p>
    <w:p w14:paraId="3692F326" w14:textId="77777777" w:rsidR="00F53719" w:rsidRDefault="00000000">
      <w:pPr>
        <w:spacing w:after="80"/>
      </w:pPr>
      <w:r>
        <w:rPr>
          <w:color w:val="374151"/>
        </w:rPr>
        <w:t>EdgeCraft runs long-dated call options on the Nasdaq-100 (QQQ-linked instruments). The strategy is convex: downside is capped at the premium paid, while upside is structurally asymmetric. This is not a stock-picking fund — it is a disciplined, options-based approach to capturing long-term equity growth with defined risk.</w:t>
      </w:r>
    </w:p>
    <w:p w14:paraId="3E86BB0B" w14:textId="77777777" w:rsidR="00F53719" w:rsidRDefault="00F53719">
      <w:pPr>
        <w:spacing w:line="160" w:lineRule="auto"/>
      </w:pPr>
    </w:p>
    <w:p w14:paraId="51C25E5A" w14:textId="77777777" w:rsidR="00F53719" w:rsidRDefault="00000000">
      <w:pPr>
        <w:pBdr>
          <w:bottom w:val="single" w:sz="6" w:space="4" w:color="00D4AA"/>
        </w:pBdr>
        <w:spacing w:before="320" w:after="80"/>
      </w:pPr>
      <w:r>
        <w:rPr>
          <w:b/>
          <w:bCs/>
          <w:caps/>
          <w:color w:val="111827"/>
          <w:spacing w:val="30"/>
          <w:sz w:val="22"/>
          <w:szCs w:val="22"/>
        </w:rPr>
        <w:t>3. Where the Name Comes From</w:t>
      </w:r>
    </w:p>
    <w:p w14:paraId="28AA75DE" w14:textId="77777777" w:rsidR="00F53719" w:rsidRDefault="00000000">
      <w:pPr>
        <w:spacing w:before="160" w:after="40"/>
      </w:pPr>
      <w:r>
        <w:rPr>
          <w:b/>
          <w:bCs/>
          <w:color w:val="1F2937"/>
        </w:rPr>
        <w:t>Edge</w:t>
      </w:r>
    </w:p>
    <w:p w14:paraId="2E7890F4" w14:textId="77777777" w:rsidR="00F53719" w:rsidRDefault="00000000">
      <w:pPr>
        <w:spacing w:after="80"/>
      </w:pPr>
      <w:r>
        <w:rPr>
          <w:color w:val="374151"/>
        </w:rPr>
        <w:t>We operate at extremes. The strategy is built to capture the far-right tail of the return distribution — the convex upside — rather than the median outcome. 'Edge' reflects this orientation: we don't seek the middle, we seek the asymmetric opportunity at the edges of the market.</w:t>
      </w:r>
    </w:p>
    <w:p w14:paraId="625DA92B" w14:textId="77777777" w:rsidR="00F53719" w:rsidRDefault="00F53719">
      <w:pPr>
        <w:spacing w:line="80" w:lineRule="auto"/>
      </w:pPr>
    </w:p>
    <w:p w14:paraId="3E2FD03B" w14:textId="77777777" w:rsidR="00F53719" w:rsidRDefault="00000000">
      <w:pPr>
        <w:spacing w:before="160" w:after="40"/>
      </w:pPr>
      <w:r>
        <w:rPr>
          <w:b/>
          <w:bCs/>
          <w:color w:val="1F2937"/>
        </w:rPr>
        <w:t>Craft</w:t>
      </w:r>
    </w:p>
    <w:p w14:paraId="4B5439B4" w14:textId="77777777" w:rsidR="00F53719" w:rsidRDefault="00000000">
      <w:pPr>
        <w:spacing w:after="80"/>
      </w:pPr>
      <w:r>
        <w:rPr>
          <w:color w:val="374151"/>
        </w:rPr>
        <w:t>Getting to that edge is not accidental. It requires methodical, disciplined construction — selecting strikes, managing duration, sizing positions. 'Craft' captures the skilled, practiced process behind the strategy: two decades of repeatable decision-making, not speculation.</w:t>
      </w:r>
    </w:p>
    <w:p w14:paraId="79369929" w14:textId="77777777" w:rsidR="00F53719" w:rsidRDefault="00F53719">
      <w:pPr>
        <w:spacing w:line="80" w:lineRule="auto"/>
      </w:pPr>
    </w:p>
    <w:p w14:paraId="3E9EB3E1" w14:textId="77777777" w:rsidR="00F53719" w:rsidRDefault="00000000">
      <w:pPr>
        <w:spacing w:before="160" w:after="40"/>
      </w:pPr>
      <w:r>
        <w:rPr>
          <w:b/>
          <w:bCs/>
          <w:color w:val="1F2937"/>
        </w:rPr>
        <w:t>Together</w:t>
      </w:r>
    </w:p>
    <w:p w14:paraId="69678D7C" w14:textId="77777777" w:rsidR="00F53719" w:rsidRDefault="00000000">
      <w:pPr>
        <w:spacing w:after="80"/>
      </w:pPr>
      <w:r>
        <w:rPr>
          <w:color w:val="374151"/>
        </w:rPr>
        <w:t>EdgeCraft is the deliberate pursuit of structural advantage through skilled execution. It combines the boldness of where we play with the discipline of how we play it.</w:t>
      </w:r>
    </w:p>
    <w:p w14:paraId="44ABCA94" w14:textId="77777777" w:rsidR="00F53719" w:rsidRDefault="00F53719">
      <w:pPr>
        <w:spacing w:line="160" w:lineRule="auto"/>
      </w:pPr>
    </w:p>
    <w:p w14:paraId="0D876543" w14:textId="77777777" w:rsidR="00F53719" w:rsidRDefault="00000000">
      <w:pPr>
        <w:pBdr>
          <w:bottom w:val="single" w:sz="6" w:space="4" w:color="00D4AA"/>
        </w:pBdr>
        <w:spacing w:before="320" w:after="80"/>
      </w:pPr>
      <w:r>
        <w:rPr>
          <w:b/>
          <w:bCs/>
          <w:caps/>
          <w:color w:val="111827"/>
          <w:spacing w:val="30"/>
          <w:sz w:val="22"/>
          <w:szCs w:val="22"/>
        </w:rPr>
        <w:t>4. Brand Personality</w:t>
      </w:r>
    </w:p>
    <w:p w14:paraId="1E44787C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Modern, premium, sophisticated — institutional-grade without being stiff</w:t>
      </w:r>
    </w:p>
    <w:p w14:paraId="43CEE8EA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Exclusive and self-assured — quiet confidence, not loudness</w:t>
      </w:r>
    </w:p>
    <w:p w14:paraId="73CA37DD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There is an idea of craftsmanship embedded in the brand: precision, mastery, intentionality</w:t>
      </w:r>
    </w:p>
    <w:p w14:paraId="2FCE17D7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Must feel like a natural sibling to Deadpoint, the firm's other product — same design DNA, same seriousness</w:t>
      </w:r>
    </w:p>
    <w:p w14:paraId="10756501" w14:textId="77777777" w:rsidR="00F53719" w:rsidRDefault="00F53719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53719" w14:paraId="5DAA4D4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60A5FA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FF6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2B09F4C" w14:textId="77777777" w:rsidR="00F53719" w:rsidRDefault="00000000">
            <w:pPr>
              <w:spacing w:after="60"/>
            </w:pPr>
            <w:r>
              <w:rPr>
                <w:b/>
                <w:bCs/>
                <w:color w:val="60A5FA"/>
                <w:sz w:val="18"/>
                <w:szCs w:val="18"/>
              </w:rPr>
              <w:t>NOTE TO DESIGNER</w:t>
            </w:r>
          </w:p>
          <w:p w14:paraId="4CDBE879" w14:textId="77777777" w:rsidR="00F53719" w:rsidRDefault="00000000">
            <w:pPr>
              <w:spacing w:after="40"/>
            </w:pPr>
            <w:r>
              <w:rPr>
                <w:color w:val="374151"/>
                <w:sz w:val="18"/>
                <w:szCs w:val="18"/>
              </w:rPr>
              <w:t>Deadpoint is the firm's existing product. EdgeCraft sits alongside it — not above or below.</w:t>
            </w:r>
          </w:p>
          <w:p w14:paraId="2B7236D6" w14:textId="77777777" w:rsidR="00F53719" w:rsidRDefault="00000000">
            <w:pPr>
              <w:spacing w:after="40"/>
            </w:pPr>
            <w:r>
              <w:rPr>
                <w:color w:val="374151"/>
                <w:sz w:val="18"/>
                <w:szCs w:val="18"/>
              </w:rPr>
              <w:t>The two logos should feel like they come from the same design system: share spatial logic,</w:t>
            </w:r>
          </w:p>
          <w:p w14:paraId="57AE8828" w14:textId="77777777" w:rsidR="00F53719" w:rsidRDefault="00000000">
            <w:pPr>
              <w:spacing w:after="40"/>
            </w:pPr>
            <w:r>
              <w:rPr>
                <w:color w:val="374151"/>
                <w:sz w:val="18"/>
                <w:szCs w:val="18"/>
              </w:rPr>
              <w:t>type weight relationships, and aesthetic register. The brand family cohesion matters.</w:t>
            </w:r>
          </w:p>
        </w:tc>
      </w:tr>
    </w:tbl>
    <w:p w14:paraId="6962B7F0" w14:textId="77777777" w:rsidR="00F53719" w:rsidRDefault="00F53719">
      <w:pPr>
        <w:spacing w:line="160" w:lineRule="auto"/>
      </w:pPr>
    </w:p>
    <w:p w14:paraId="0B375FA9" w14:textId="77777777" w:rsidR="00F53719" w:rsidRDefault="00000000">
      <w:pPr>
        <w:pBdr>
          <w:bottom w:val="single" w:sz="6" w:space="4" w:color="00D4AA"/>
        </w:pBdr>
        <w:spacing w:before="320" w:after="80"/>
      </w:pPr>
      <w:r>
        <w:rPr>
          <w:b/>
          <w:bCs/>
          <w:caps/>
          <w:color w:val="111827"/>
          <w:spacing w:val="30"/>
          <w:sz w:val="22"/>
          <w:szCs w:val="22"/>
        </w:rPr>
        <w:t>5. Tone</w:t>
      </w:r>
    </w:p>
    <w:p w14:paraId="665D9854" w14:textId="77777777" w:rsidR="00F53719" w:rsidRDefault="00000000">
      <w:pPr>
        <w:spacing w:after="80"/>
      </w:pPr>
      <w:r>
        <w:rPr>
          <w:color w:val="374151"/>
        </w:rPr>
        <w:t>Precise. Restrained. Unshowy.</w:t>
      </w:r>
    </w:p>
    <w:p w14:paraId="2FA9C8BA" w14:textId="77777777" w:rsidR="00F53719" w:rsidRDefault="00F53719">
      <w:pPr>
        <w:spacing w:line="80" w:lineRule="auto"/>
      </w:pPr>
    </w:p>
    <w:p w14:paraId="1F8644DD" w14:textId="77777777" w:rsidR="00F53719" w:rsidRDefault="00000000">
      <w:pPr>
        <w:spacing w:after="80"/>
      </w:pPr>
      <w:r>
        <w:rPr>
          <w:color w:val="374151"/>
        </w:rPr>
        <w:t>EdgeCraft does not need to announce itself. The tone is that of a firm that has earned its position and does not feel the need to prove it. Think of the wordmark as something that belongs on a terminal screen, a pitch deck cover, or a watermark on a one-pager — and looks right in all three.</w:t>
      </w:r>
    </w:p>
    <w:p w14:paraId="7D0C9C16" w14:textId="77777777" w:rsidR="00F53719" w:rsidRDefault="00F53719">
      <w:pPr>
        <w:spacing w:line="80" w:lineRule="auto"/>
      </w:pPr>
    </w:p>
    <w:p w14:paraId="67CCF4F8" w14:textId="77777777" w:rsidR="00F53719" w:rsidRDefault="00000000">
      <w:pPr>
        <w:spacing w:after="80"/>
      </w:pPr>
      <w:r>
        <w:rPr>
          <w:color w:val="374151"/>
        </w:rPr>
        <w:t>Avoid warmth cues (rounded letterforms, approachable spacing, friendly color) and avoid aggression cues (heavy black, compressed letterforms, militaristic angles). The sweet spot is composed authority: the logo of something serious, built to last.</w:t>
      </w:r>
    </w:p>
    <w:p w14:paraId="3CDECD66" w14:textId="77777777" w:rsidR="00F53719" w:rsidRDefault="00F53719">
      <w:pPr>
        <w:spacing w:line="160" w:lineRule="auto"/>
      </w:pPr>
    </w:p>
    <w:p w14:paraId="4A7A8CD5" w14:textId="77777777" w:rsidR="00F53719" w:rsidRDefault="00000000">
      <w:pPr>
        <w:pBdr>
          <w:bottom w:val="single" w:sz="6" w:space="4" w:color="00D4AA"/>
        </w:pBdr>
        <w:spacing w:before="320" w:after="80"/>
      </w:pPr>
      <w:r>
        <w:rPr>
          <w:b/>
          <w:bCs/>
          <w:caps/>
          <w:color w:val="111827"/>
          <w:spacing w:val="30"/>
          <w:sz w:val="22"/>
          <w:szCs w:val="22"/>
        </w:rPr>
        <w:t>6. Visual Direction</w:t>
      </w:r>
    </w:p>
    <w:p w14:paraId="5A79ABDB" w14:textId="77777777" w:rsidR="00F53719" w:rsidRDefault="00000000">
      <w:pPr>
        <w:spacing w:before="160" w:after="40"/>
      </w:pPr>
      <w:r>
        <w:rPr>
          <w:b/>
          <w:bCs/>
          <w:color w:val="1F2937"/>
        </w:rPr>
        <w:t>Form</w:t>
      </w:r>
    </w:p>
    <w:p w14:paraId="08C2E0A8" w14:textId="72CA1B10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Clean, minimal. No gradients, no 3D effects, no illustrative elements</w:t>
      </w:r>
    </w:p>
    <w:p w14:paraId="37313651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Flat and vector-native — must scale from 16px favicon to large-format print without loss</w:t>
      </w:r>
    </w:p>
    <w:p w14:paraId="75FD9E7C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If a logomark (symbol) is included alongside the wordmark, it must be abstract and geometric — not representational (no charts, no arrows, no options payoff diagrams)</w:t>
      </w:r>
    </w:p>
    <w:p w14:paraId="1DB5EBD1" w14:textId="77777777" w:rsidR="00F53719" w:rsidRDefault="00F53719">
      <w:pPr>
        <w:spacing w:line="80" w:lineRule="auto"/>
      </w:pPr>
    </w:p>
    <w:p w14:paraId="672472A3" w14:textId="77777777" w:rsidR="00F53719" w:rsidRDefault="00000000">
      <w:pPr>
        <w:spacing w:before="160" w:after="40"/>
      </w:pPr>
      <w:r>
        <w:rPr>
          <w:b/>
          <w:bCs/>
          <w:color w:val="1F2937"/>
        </w:rPr>
        <w:t>Typography</w:t>
      </w:r>
    </w:p>
    <w:p w14:paraId="7C4EBC84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Monospace or sharp sans-serif feel — something that reads naturally next to a terminal or data table</w:t>
      </w:r>
    </w:p>
    <w:p w14:paraId="73A303F8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The existing EdgeCraft wordmark uses a bold/regular weight split: EDGE bold, CRAFT regular (all-caps sans-serif). The designer should explore whether to retain this contrast or propose an alternative — the split is a starting point, not a constraint</w:t>
      </w:r>
    </w:p>
    <w:p w14:paraId="4FDC3036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If the designer proposes a typeface other than DM Sans, it must harmonise with DM Sans (Deadpoint's font). Type pairing coherence with the existing product is required</w:t>
      </w:r>
    </w:p>
    <w:p w14:paraId="4D326FD8" w14:textId="77777777" w:rsidR="00F53719" w:rsidRDefault="00F53719">
      <w:pPr>
        <w:spacing w:line="80" w:lineRule="auto"/>
      </w:pPr>
    </w:p>
    <w:p w14:paraId="22F97E59" w14:textId="77777777" w:rsidR="00F53719" w:rsidRDefault="00000000">
      <w:pPr>
        <w:spacing w:before="160" w:after="40"/>
      </w:pPr>
      <w:r>
        <w:rPr>
          <w:b/>
          <w:bCs/>
          <w:color w:val="1F2937"/>
        </w:rPr>
        <w:t>Backgrounds &amp; Adaptability</w:t>
      </w:r>
    </w:p>
    <w:p w14:paraId="5870DDBE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Must work on dark surfaces: #06080C and #111827 (the dashboard and dark-mode contexts)</w:t>
      </w:r>
    </w:p>
    <w:p w14:paraId="7CF7B1D0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Must work on light/white surfaces: pitch decks, documents, printed materials</w:t>
      </w:r>
    </w:p>
    <w:p w14:paraId="456D7911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A reversed/light version (e.g. white or #E8EAED wordmark) should be provided as a deliverable</w:t>
      </w:r>
    </w:p>
    <w:p w14:paraId="13CA4870" w14:textId="77777777" w:rsidR="00F53719" w:rsidRDefault="00F53719">
      <w:pPr>
        <w:spacing w:line="160" w:lineRule="auto"/>
      </w:pPr>
    </w:p>
    <w:p w14:paraId="52499A32" w14:textId="77777777" w:rsidR="00F53719" w:rsidRDefault="00000000">
      <w:pPr>
        <w:pBdr>
          <w:bottom w:val="single" w:sz="6" w:space="4" w:color="00D4AA"/>
        </w:pBdr>
        <w:spacing w:before="320" w:after="80"/>
      </w:pPr>
      <w:r>
        <w:rPr>
          <w:b/>
          <w:bCs/>
          <w:caps/>
          <w:color w:val="111827"/>
          <w:spacing w:val="30"/>
          <w:sz w:val="22"/>
          <w:szCs w:val="22"/>
        </w:rPr>
        <w:t>7. Colour Palette</w:t>
      </w:r>
    </w:p>
    <w:p w14:paraId="6CAD6221" w14:textId="147C9528" w:rsidR="00F53719" w:rsidRDefault="00000000">
      <w:pPr>
        <w:spacing w:after="80"/>
      </w:pPr>
      <w:r>
        <w:rPr>
          <w:color w:val="374151"/>
        </w:rPr>
        <w:t xml:space="preserve">EdgeCraft </w:t>
      </w:r>
      <w:r w:rsidR="0093169B">
        <w:rPr>
          <w:color w:val="374151"/>
        </w:rPr>
        <w:t xml:space="preserve">colour system should be in line with </w:t>
      </w:r>
      <w:r>
        <w:rPr>
          <w:color w:val="374151"/>
        </w:rPr>
        <w:t>Deadpoint</w:t>
      </w:r>
      <w:r w:rsidR="0093169B">
        <w:rPr>
          <w:color w:val="374151"/>
        </w:rPr>
        <w:t>’s</w:t>
      </w:r>
      <w:r>
        <w:rPr>
          <w:color w:val="374151"/>
        </w:rPr>
        <w:t xml:space="preserve">. </w:t>
      </w:r>
      <w:r w:rsidR="0093169B">
        <w:rPr>
          <w:color w:val="374151"/>
        </w:rPr>
        <w:t xml:space="preserve">Deadpoint’s </w:t>
      </w:r>
      <w:r>
        <w:rPr>
          <w:color w:val="374151"/>
        </w:rPr>
        <w:t xml:space="preserve">palette is 90% greyscale; teal is used sparingly as the only accent. </w:t>
      </w:r>
      <w:r w:rsidR="0093169B">
        <w:rPr>
          <w:color w:val="374151"/>
        </w:rPr>
        <w:t>You can deviate from Deadpoint’s palette.</w:t>
      </w:r>
    </w:p>
    <w:p w14:paraId="529A7064" w14:textId="77777777" w:rsidR="00F53719" w:rsidRDefault="00F53719">
      <w:pPr>
        <w:spacing w:line="16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2000"/>
        <w:gridCol w:w="4960"/>
      </w:tblGrid>
      <w:tr w:rsidR="00F53719" w14:paraId="237EC41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69575" w14:textId="77777777" w:rsidR="00F53719" w:rsidRDefault="00F53719"/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056EA" w14:textId="77777777" w:rsidR="00F53719" w:rsidRDefault="00000000">
            <w:r>
              <w:rPr>
                <w:b/>
                <w:bCs/>
                <w:caps/>
                <w:color w:val="6B7280"/>
                <w:sz w:val="17"/>
                <w:szCs w:val="17"/>
              </w:rPr>
              <w:t>Hex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30555" w14:textId="77777777" w:rsidR="00F53719" w:rsidRDefault="00000000">
            <w:r>
              <w:rPr>
                <w:b/>
                <w:bCs/>
                <w:caps/>
                <w:color w:val="6B7280"/>
                <w:sz w:val="17"/>
                <w:szCs w:val="17"/>
              </w:rPr>
              <w:t>Role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5BCE" w14:textId="77777777" w:rsidR="00F53719" w:rsidRDefault="00000000">
            <w:r>
              <w:rPr>
                <w:b/>
                <w:bCs/>
                <w:caps/>
                <w:color w:val="6B7280"/>
                <w:sz w:val="17"/>
                <w:szCs w:val="17"/>
              </w:rPr>
              <w:t>Usage Notes</w:t>
            </w:r>
          </w:p>
        </w:tc>
      </w:tr>
      <w:tr w:rsidR="00F53719" w14:paraId="65C750A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6080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50FBA" w14:textId="77777777" w:rsidR="00F53719" w:rsidRDefault="00000000">
            <w: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BA931F3" w14:textId="77777777" w:rsidR="00F53719" w:rsidRDefault="00000000">
            <w:r>
              <w:rPr>
                <w:rFonts w:ascii="Courier New" w:eastAsia="Courier New" w:hAnsi="Courier New" w:cs="Courier New"/>
                <w:color w:val="374151"/>
                <w:sz w:val="18"/>
                <w:szCs w:val="18"/>
              </w:rPr>
              <w:t>#06080C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E4040" w14:textId="77777777" w:rsidR="00F53719" w:rsidRDefault="00000000">
            <w:r>
              <w:rPr>
                <w:b/>
                <w:bCs/>
                <w:color w:val="1F2937"/>
                <w:sz w:val="18"/>
                <w:szCs w:val="18"/>
              </w:rPr>
              <w:t>Surface / Dark BG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38C39" w14:textId="77777777" w:rsidR="00F53719" w:rsidRDefault="00000000">
            <w:r>
              <w:rPr>
                <w:color w:val="6B7280"/>
                <w:sz w:val="18"/>
                <w:szCs w:val="18"/>
              </w:rPr>
              <w:t>Deepest background; primary dark canvas</w:t>
            </w:r>
          </w:p>
        </w:tc>
      </w:tr>
      <w:tr w:rsidR="00F53719" w14:paraId="2343B78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1182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E10BA" w14:textId="77777777" w:rsidR="00F53719" w:rsidRDefault="00000000">
            <w: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B848549" w14:textId="77777777" w:rsidR="00F53719" w:rsidRDefault="00000000">
            <w:r>
              <w:rPr>
                <w:rFonts w:ascii="Courier New" w:eastAsia="Courier New" w:hAnsi="Courier New" w:cs="Courier New"/>
                <w:color w:val="374151"/>
                <w:sz w:val="18"/>
                <w:szCs w:val="18"/>
              </w:rPr>
              <w:t>#111827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39EF" w14:textId="77777777" w:rsidR="00F53719" w:rsidRDefault="00000000">
            <w:r>
              <w:rPr>
                <w:b/>
                <w:bCs/>
                <w:color w:val="1F2937"/>
                <w:sz w:val="18"/>
                <w:szCs w:val="18"/>
              </w:rPr>
              <w:t>Surface / Mid BG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D3554" w14:textId="77777777" w:rsidR="00F53719" w:rsidRDefault="00000000">
            <w:r>
              <w:rPr>
                <w:color w:val="6B7280"/>
                <w:sz w:val="18"/>
                <w:szCs w:val="18"/>
              </w:rPr>
              <w:t>Secondary dark surface, card backgrounds</w:t>
            </w:r>
          </w:p>
        </w:tc>
      </w:tr>
      <w:tr w:rsidR="00F53719" w14:paraId="17851FD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293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37733" w14:textId="77777777" w:rsidR="00F53719" w:rsidRDefault="00000000">
            <w: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C60C73A" w14:textId="77777777" w:rsidR="00F53719" w:rsidRDefault="00000000">
            <w:r>
              <w:rPr>
                <w:rFonts w:ascii="Courier New" w:eastAsia="Courier New" w:hAnsi="Courier New" w:cs="Courier New"/>
                <w:color w:val="374151"/>
                <w:sz w:val="18"/>
                <w:szCs w:val="18"/>
              </w:rPr>
              <w:t>#1F2937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7E4E5" w14:textId="77777777" w:rsidR="00F53719" w:rsidRDefault="00000000">
            <w:r>
              <w:rPr>
                <w:b/>
                <w:bCs/>
                <w:color w:val="1F2937"/>
                <w:sz w:val="18"/>
                <w:szCs w:val="18"/>
              </w:rPr>
              <w:t>Surface / Light BG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50387" w14:textId="77777777" w:rsidR="00F53719" w:rsidRDefault="00000000">
            <w:r>
              <w:rPr>
                <w:color w:val="6B7280"/>
                <w:sz w:val="18"/>
                <w:szCs w:val="18"/>
              </w:rPr>
              <w:t>Elevated surface in dark contexts</w:t>
            </w:r>
          </w:p>
        </w:tc>
      </w:tr>
      <w:tr w:rsidR="00F53719" w14:paraId="1D2E592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A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28398" w14:textId="77777777" w:rsidR="00F53719" w:rsidRDefault="00000000">
            <w: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C1F42EC" w14:textId="77777777" w:rsidR="00F53719" w:rsidRDefault="00000000">
            <w:r>
              <w:rPr>
                <w:rFonts w:ascii="Courier New" w:eastAsia="Courier New" w:hAnsi="Courier New" w:cs="Courier New"/>
                <w:color w:val="374151"/>
                <w:sz w:val="18"/>
                <w:szCs w:val="18"/>
              </w:rPr>
              <w:t>#E8EAED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7365F" w14:textId="77777777" w:rsidR="00F53719" w:rsidRDefault="00000000">
            <w:r>
              <w:rPr>
                <w:b/>
                <w:bCs/>
                <w:color w:val="1F2937"/>
                <w:sz w:val="18"/>
                <w:szCs w:val="18"/>
              </w:rPr>
              <w:t>Text / Primary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9DDF" w14:textId="77777777" w:rsidR="00F53719" w:rsidRDefault="00000000">
            <w:r>
              <w:rPr>
                <w:color w:val="6B7280"/>
                <w:sz w:val="18"/>
                <w:szCs w:val="18"/>
              </w:rPr>
              <w:t>Primary text on dark</w:t>
            </w:r>
          </w:p>
        </w:tc>
      </w:tr>
      <w:tr w:rsidR="00F53719" w14:paraId="5AE396B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0B4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F8258" w14:textId="77777777" w:rsidR="00F53719" w:rsidRDefault="00000000">
            <w: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1D81487" w14:textId="77777777" w:rsidR="00F53719" w:rsidRDefault="00000000">
            <w:r>
              <w:rPr>
                <w:rFonts w:ascii="Courier New" w:eastAsia="Courier New" w:hAnsi="Courier New" w:cs="Courier New"/>
                <w:color w:val="374151"/>
                <w:sz w:val="18"/>
                <w:szCs w:val="18"/>
              </w:rPr>
              <w:t>#B0B4BC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5F79" w14:textId="77777777" w:rsidR="00F53719" w:rsidRDefault="00000000">
            <w:r>
              <w:rPr>
                <w:b/>
                <w:bCs/>
                <w:color w:val="1F2937"/>
                <w:sz w:val="18"/>
                <w:szCs w:val="18"/>
              </w:rPr>
              <w:t>Text / Secondary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39C65" w14:textId="77777777" w:rsidR="00F53719" w:rsidRDefault="00000000">
            <w:r>
              <w:rPr>
                <w:color w:val="6B7280"/>
                <w:sz w:val="18"/>
                <w:szCs w:val="18"/>
              </w:rPr>
              <w:t>Supporting text, labels</w:t>
            </w:r>
          </w:p>
        </w:tc>
      </w:tr>
      <w:tr w:rsidR="00F53719" w14:paraId="7740A72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892A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919DB" w14:textId="77777777" w:rsidR="00F53719" w:rsidRDefault="00000000">
            <w: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601D5AE" w14:textId="77777777" w:rsidR="00F53719" w:rsidRDefault="00000000">
            <w:r>
              <w:rPr>
                <w:rFonts w:ascii="Courier New" w:eastAsia="Courier New" w:hAnsi="Courier New" w:cs="Courier New"/>
                <w:color w:val="374151"/>
                <w:sz w:val="18"/>
                <w:szCs w:val="18"/>
              </w:rPr>
              <w:t>#8892A8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F3600" w14:textId="77777777" w:rsidR="00F53719" w:rsidRDefault="00000000">
            <w:r>
              <w:rPr>
                <w:b/>
                <w:bCs/>
                <w:color w:val="1F2937"/>
                <w:sz w:val="18"/>
                <w:szCs w:val="18"/>
              </w:rPr>
              <w:t>Text / Muted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763E8" w14:textId="77777777" w:rsidR="00F53719" w:rsidRDefault="00000000">
            <w:r>
              <w:rPr>
                <w:color w:val="6B7280"/>
                <w:sz w:val="18"/>
                <w:szCs w:val="18"/>
              </w:rPr>
              <w:t>Metadata, captions</w:t>
            </w:r>
          </w:p>
        </w:tc>
      </w:tr>
      <w:tr w:rsidR="00F53719" w14:paraId="174C135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3DFB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A58C5" w14:textId="77777777" w:rsidR="00F53719" w:rsidRDefault="00000000">
            <w: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30C34F0" w14:textId="77777777" w:rsidR="00F53719" w:rsidRDefault="00000000">
            <w:r>
              <w:rPr>
                <w:rFonts w:ascii="Courier New" w:eastAsia="Courier New" w:hAnsi="Courier New" w:cs="Courier New"/>
                <w:color w:val="374151"/>
                <w:sz w:val="18"/>
                <w:szCs w:val="18"/>
              </w:rPr>
              <w:t>#33DFBE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7BDF2" w14:textId="77777777" w:rsidR="00F53719" w:rsidRDefault="00000000">
            <w:r>
              <w:rPr>
                <w:b/>
                <w:bCs/>
                <w:color w:val="1F2937"/>
                <w:sz w:val="18"/>
                <w:szCs w:val="18"/>
              </w:rPr>
              <w:t>Teal / Light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EAFD3" w14:textId="77777777" w:rsidR="00F53719" w:rsidRDefault="00000000">
            <w:r>
              <w:rPr>
                <w:color w:val="6B7280"/>
                <w:sz w:val="18"/>
                <w:szCs w:val="18"/>
              </w:rPr>
              <w:t>Use at favicons, small accent</w:t>
            </w:r>
          </w:p>
        </w:tc>
      </w:tr>
      <w:tr w:rsidR="00F53719" w14:paraId="46C891D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D4A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F84DD" w14:textId="77777777" w:rsidR="00F53719" w:rsidRDefault="00000000">
            <w: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8E90754" w14:textId="77777777" w:rsidR="00F53719" w:rsidRDefault="00000000">
            <w:r>
              <w:rPr>
                <w:rFonts w:ascii="Courier New" w:eastAsia="Courier New" w:hAnsi="Courier New" w:cs="Courier New"/>
                <w:color w:val="374151"/>
                <w:sz w:val="18"/>
                <w:szCs w:val="18"/>
              </w:rPr>
              <w:t>#00D4AA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ACA59" w14:textId="77777777" w:rsidR="00F53719" w:rsidRDefault="00000000">
            <w:r>
              <w:rPr>
                <w:b/>
                <w:bCs/>
                <w:color w:val="1F2937"/>
                <w:sz w:val="18"/>
                <w:szCs w:val="18"/>
              </w:rPr>
              <w:t>Teal / Primary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1B84F" w14:textId="77777777" w:rsidR="00F53719" w:rsidRDefault="00000000">
            <w:r>
              <w:rPr>
                <w:color w:val="6B7280"/>
                <w:sz w:val="18"/>
                <w:szCs w:val="18"/>
              </w:rPr>
              <w:t>Primary teal accent — preferred for logo use</w:t>
            </w:r>
          </w:p>
        </w:tc>
      </w:tr>
      <w:tr w:rsidR="00F53719" w14:paraId="193FD47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A6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F57D9" w14:textId="77777777" w:rsidR="00F53719" w:rsidRDefault="00000000">
            <w: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129CD89" w14:textId="77777777" w:rsidR="00F53719" w:rsidRDefault="00000000">
            <w:r>
              <w:rPr>
                <w:rFonts w:ascii="Courier New" w:eastAsia="Courier New" w:hAnsi="Courier New" w:cs="Courier New"/>
                <w:color w:val="374151"/>
                <w:sz w:val="18"/>
                <w:szCs w:val="18"/>
              </w:rPr>
              <w:t>#007A63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EF954" w14:textId="77777777" w:rsidR="00F53719" w:rsidRDefault="00000000">
            <w:r>
              <w:rPr>
                <w:b/>
                <w:bCs/>
                <w:color w:val="1F2937"/>
                <w:sz w:val="18"/>
                <w:szCs w:val="18"/>
              </w:rPr>
              <w:t>Teal / Dark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FEF66" w14:textId="77777777" w:rsidR="00F53719" w:rsidRDefault="00000000">
            <w:r>
              <w:rPr>
                <w:color w:val="6B7280"/>
                <w:sz w:val="18"/>
                <w:szCs w:val="18"/>
              </w:rPr>
              <w:t>Pressed state, dark context only</w:t>
            </w:r>
          </w:p>
        </w:tc>
      </w:tr>
      <w:tr w:rsidR="00F53719" w14:paraId="5AA435C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DE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71D8B" w14:textId="77777777" w:rsidR="00F53719" w:rsidRDefault="00000000">
            <w: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1C53371" w14:textId="77777777" w:rsidR="00F53719" w:rsidRDefault="00000000">
            <w:r>
              <w:rPr>
                <w:rFonts w:ascii="Courier New" w:eastAsia="Courier New" w:hAnsi="Courier New" w:cs="Courier New"/>
                <w:color w:val="374151"/>
                <w:sz w:val="18"/>
                <w:szCs w:val="18"/>
              </w:rPr>
              <w:t>#4ADE80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336A3" w14:textId="77777777" w:rsidR="00F53719" w:rsidRDefault="00000000">
            <w:r>
              <w:rPr>
                <w:b/>
                <w:bCs/>
                <w:color w:val="1F2937"/>
                <w:sz w:val="18"/>
                <w:szCs w:val="18"/>
              </w:rPr>
              <w:t>Semantic / Positive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3FB16" w14:textId="77777777" w:rsidR="00F53719" w:rsidRDefault="00000000">
            <w:r>
              <w:rPr>
                <w:color w:val="6B7280"/>
                <w:sz w:val="18"/>
                <w:szCs w:val="18"/>
              </w:rPr>
              <w:t>Do not use in logo</w:t>
            </w:r>
          </w:p>
        </w:tc>
      </w:tr>
      <w:tr w:rsidR="00F53719" w14:paraId="1E3676A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71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13697" w14:textId="77777777" w:rsidR="00F53719" w:rsidRDefault="00000000">
            <w: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1882A60" w14:textId="77777777" w:rsidR="00F53719" w:rsidRDefault="00000000">
            <w:r>
              <w:rPr>
                <w:rFonts w:ascii="Courier New" w:eastAsia="Courier New" w:hAnsi="Courier New" w:cs="Courier New"/>
                <w:color w:val="374151"/>
                <w:sz w:val="18"/>
                <w:szCs w:val="18"/>
              </w:rPr>
              <w:t>#F87171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97D1" w14:textId="77777777" w:rsidR="00F53719" w:rsidRDefault="00000000">
            <w:r>
              <w:rPr>
                <w:b/>
                <w:bCs/>
                <w:color w:val="1F2937"/>
                <w:sz w:val="18"/>
                <w:szCs w:val="18"/>
              </w:rPr>
              <w:t>Semantic / Negative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2F8FB" w14:textId="77777777" w:rsidR="00F53719" w:rsidRDefault="00000000">
            <w:r>
              <w:rPr>
                <w:color w:val="6B7280"/>
                <w:sz w:val="18"/>
                <w:szCs w:val="18"/>
              </w:rPr>
              <w:t>Do not use in logo</w:t>
            </w:r>
          </w:p>
        </w:tc>
      </w:tr>
      <w:tr w:rsidR="00F53719" w14:paraId="3927D4F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BBF2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374E2" w14:textId="77777777" w:rsidR="00F53719" w:rsidRDefault="00000000">
            <w: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A57D81F" w14:textId="77777777" w:rsidR="00F53719" w:rsidRDefault="00000000">
            <w:r>
              <w:rPr>
                <w:rFonts w:ascii="Courier New" w:eastAsia="Courier New" w:hAnsi="Courier New" w:cs="Courier New"/>
                <w:color w:val="374151"/>
                <w:sz w:val="18"/>
                <w:szCs w:val="18"/>
              </w:rPr>
              <w:t>#FBBF24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AE4D2" w14:textId="77777777" w:rsidR="00F53719" w:rsidRDefault="00000000">
            <w:r>
              <w:rPr>
                <w:b/>
                <w:bCs/>
                <w:color w:val="1F2937"/>
                <w:sz w:val="18"/>
                <w:szCs w:val="18"/>
              </w:rPr>
              <w:t>Semantic / Warning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911AC" w14:textId="77777777" w:rsidR="00F53719" w:rsidRDefault="00000000">
            <w:r>
              <w:rPr>
                <w:color w:val="6B7280"/>
                <w:sz w:val="18"/>
                <w:szCs w:val="18"/>
              </w:rPr>
              <w:t>Do not use in logo</w:t>
            </w:r>
          </w:p>
        </w:tc>
      </w:tr>
      <w:tr w:rsidR="00F53719" w14:paraId="7C26A75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0A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1EDA2" w14:textId="77777777" w:rsidR="00F53719" w:rsidRDefault="00000000">
            <w: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8A63AE3" w14:textId="77777777" w:rsidR="00F53719" w:rsidRDefault="00000000">
            <w:r>
              <w:rPr>
                <w:rFonts w:ascii="Courier New" w:eastAsia="Courier New" w:hAnsi="Courier New" w:cs="Courier New"/>
                <w:color w:val="374151"/>
                <w:sz w:val="18"/>
                <w:szCs w:val="18"/>
              </w:rPr>
              <w:t>#60A5FA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0AE6" w14:textId="77777777" w:rsidR="00F53719" w:rsidRDefault="00000000">
            <w:r>
              <w:rPr>
                <w:b/>
                <w:bCs/>
                <w:color w:val="1F2937"/>
                <w:sz w:val="18"/>
                <w:szCs w:val="18"/>
              </w:rPr>
              <w:t>Semantic / Info</w:t>
            </w:r>
          </w:p>
        </w:tc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5241A" w14:textId="77777777" w:rsidR="00F53719" w:rsidRDefault="00000000">
            <w:r>
              <w:rPr>
                <w:color w:val="6B7280"/>
                <w:sz w:val="18"/>
                <w:szCs w:val="18"/>
              </w:rPr>
              <w:t>Do not use in logo</w:t>
            </w:r>
          </w:p>
        </w:tc>
      </w:tr>
    </w:tbl>
    <w:p w14:paraId="71EFF4F9" w14:textId="77777777" w:rsidR="00F53719" w:rsidRDefault="00F53719">
      <w:pPr>
        <w:spacing w:line="160" w:lineRule="auto"/>
      </w:pPr>
    </w:p>
    <w:p w14:paraId="1D95F244" w14:textId="77777777" w:rsidR="00F53719" w:rsidRDefault="00000000">
      <w:pPr>
        <w:pBdr>
          <w:bottom w:val="single" w:sz="6" w:space="4" w:color="00D4AA"/>
        </w:pBdr>
        <w:spacing w:before="320" w:after="80"/>
      </w:pPr>
      <w:r>
        <w:rPr>
          <w:b/>
          <w:bCs/>
          <w:caps/>
          <w:color w:val="111827"/>
          <w:spacing w:val="30"/>
          <w:sz w:val="22"/>
          <w:szCs w:val="22"/>
        </w:rPr>
        <w:t>8. Typography</w:t>
      </w:r>
    </w:p>
    <w:p w14:paraId="1C7BCD48" w14:textId="44B08014" w:rsidR="00F53719" w:rsidRDefault="00000000">
      <w:pPr>
        <w:spacing w:after="80"/>
      </w:pPr>
      <w:r>
        <w:rPr>
          <w:color w:val="374151"/>
        </w:rPr>
        <w:t>The Deadpoint type system uses DM Sans exclusively. EdgeCraft</w:t>
      </w:r>
      <w:r w:rsidR="0093169B">
        <w:rPr>
          <w:color w:val="374151"/>
        </w:rPr>
        <w:t xml:space="preserve">’s </w:t>
      </w:r>
      <w:r>
        <w:rPr>
          <w:color w:val="374151"/>
        </w:rPr>
        <w:t>wordmark must harmonise with it in weight and spacing.</w:t>
      </w:r>
    </w:p>
    <w:p w14:paraId="547F0DEF" w14:textId="77777777" w:rsidR="00F53719" w:rsidRDefault="00F53719">
      <w:pPr>
        <w:spacing w:line="80" w:lineRule="auto"/>
      </w:pPr>
    </w:p>
    <w:p w14:paraId="29466E4E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DM Sans Regular (400)</w:t>
      </w:r>
    </w:p>
    <w:p w14:paraId="0E027012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DM Sans Medium (500)</w:t>
      </w:r>
    </w:p>
    <w:p w14:paraId="0E920BD4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DM Sans Semibold (600)</w:t>
      </w:r>
    </w:p>
    <w:p w14:paraId="13DC7AB7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DM Sans Bold (700)</w:t>
      </w:r>
    </w:p>
    <w:p w14:paraId="0C5C88E3" w14:textId="77777777" w:rsidR="00F53719" w:rsidRDefault="00F53719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53719" w14:paraId="070859A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60A5FA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FF6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4FC2E1A" w14:textId="77777777" w:rsidR="00F53719" w:rsidRDefault="00000000">
            <w:pPr>
              <w:spacing w:after="60"/>
            </w:pPr>
            <w:r>
              <w:rPr>
                <w:b/>
                <w:bCs/>
                <w:color w:val="60A5FA"/>
                <w:sz w:val="18"/>
                <w:szCs w:val="18"/>
              </w:rPr>
              <w:t>NOTE TO DESIGNER</w:t>
            </w:r>
          </w:p>
          <w:p w14:paraId="698179C7" w14:textId="77777777" w:rsidR="00F53719" w:rsidRDefault="00000000">
            <w:pPr>
              <w:spacing w:after="40"/>
            </w:pPr>
            <w:r>
              <w:rPr>
                <w:color w:val="374151"/>
                <w:sz w:val="18"/>
                <w:szCs w:val="18"/>
              </w:rPr>
              <w:t>If proposing a custom or alternate wordmark typeface, please provide a side-by-side showing it set</w:t>
            </w:r>
          </w:p>
          <w:p w14:paraId="2729BB6F" w14:textId="77777777" w:rsidR="00F53719" w:rsidRDefault="00000000">
            <w:pPr>
              <w:spacing w:after="40"/>
            </w:pPr>
            <w:r>
              <w:rPr>
                <w:color w:val="374151"/>
                <w:sz w:val="18"/>
                <w:szCs w:val="18"/>
              </w:rPr>
              <w:t>next to DM Sans body text, so we can validate visual harmony with Deadpoint materials.</w:t>
            </w:r>
          </w:p>
        </w:tc>
      </w:tr>
    </w:tbl>
    <w:p w14:paraId="66635A31" w14:textId="77777777" w:rsidR="00F53719" w:rsidRDefault="00F53719">
      <w:pPr>
        <w:spacing w:line="160" w:lineRule="auto"/>
      </w:pPr>
    </w:p>
    <w:p w14:paraId="0C87E870" w14:textId="77777777" w:rsidR="00F53719" w:rsidRDefault="00000000">
      <w:pPr>
        <w:pBdr>
          <w:bottom w:val="single" w:sz="6" w:space="4" w:color="00D4AA"/>
        </w:pBdr>
        <w:spacing w:before="320" w:after="80"/>
      </w:pPr>
      <w:r>
        <w:rPr>
          <w:b/>
          <w:bCs/>
          <w:caps/>
          <w:color w:val="111827"/>
          <w:spacing w:val="30"/>
          <w:sz w:val="22"/>
          <w:szCs w:val="22"/>
        </w:rPr>
        <w:t>9. What We Don't Want</w:t>
      </w:r>
    </w:p>
    <w:p w14:paraId="54ECD3F9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Anything that reads as crypto or Web3 — no glows, no dark gradients, no hexagons</w:t>
      </w:r>
    </w:p>
    <w:p w14:paraId="1C8CD5A5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Consumer fintech aesthetics — no rounded blobs, no friendly pastels, no gradient fills</w:t>
      </w:r>
    </w:p>
    <w:p w14:paraId="61ECDAC7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Overly complex marks — the logo must remain legible and recognisable at 16px favicon size</w:t>
      </w:r>
    </w:p>
    <w:p w14:paraId="5691FB34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Generic 'finance' iconography — no coins, no upward arrows, no bar charts, no currency symbols</w:t>
      </w:r>
    </w:p>
    <w:p w14:paraId="395EDDD8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lastRenderedPageBreak/>
        <w:t>Category-generic hedge fund visual language — the logo should not look like it was produced from a financial services template. We are not trying to signal 'hedge fund'; we are trying to signal a specific, distinct firm with a specific view. The designer should work against the category default, not toward it</w:t>
      </w:r>
    </w:p>
    <w:p w14:paraId="07718D26" w14:textId="77777777" w:rsidR="00F53719" w:rsidRDefault="00F53719">
      <w:pPr>
        <w:spacing w:line="160" w:lineRule="auto"/>
      </w:pPr>
    </w:p>
    <w:p w14:paraId="2A40B0F0" w14:textId="77777777" w:rsidR="00F53719" w:rsidRDefault="00000000">
      <w:pPr>
        <w:pBdr>
          <w:bottom w:val="single" w:sz="6" w:space="4" w:color="00D4AA"/>
        </w:pBdr>
        <w:spacing w:before="320" w:after="80"/>
      </w:pPr>
      <w:r>
        <w:rPr>
          <w:b/>
          <w:bCs/>
          <w:caps/>
          <w:color w:val="111827"/>
          <w:spacing w:val="30"/>
          <w:sz w:val="22"/>
          <w:szCs w:val="22"/>
        </w:rPr>
        <w:t>10. Reference Brands &amp; Aesthetic Touchstones</w:t>
      </w:r>
    </w:p>
    <w:p w14:paraId="0ED0C1A1" w14:textId="77777777" w:rsidR="00F53719" w:rsidRDefault="00000000">
      <w:pPr>
        <w:spacing w:after="80"/>
      </w:pPr>
      <w:r>
        <w:rPr>
          <w:color w:val="374151"/>
        </w:rPr>
        <w:t>These are provided for mood and register — not for imitation. The common thread is: precision-built, typographically led, dark-native, institutional without being stuffy.</w:t>
      </w:r>
    </w:p>
    <w:p w14:paraId="79A0FA2D" w14:textId="77777777" w:rsidR="00F53719" w:rsidRDefault="00F53719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F53719" w14:paraId="37D5513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2FAA957F" w14:textId="77777777" w:rsidR="00F53719" w:rsidRDefault="00000000">
            <w:r>
              <w:rPr>
                <w:b/>
                <w:bCs/>
                <w:caps/>
                <w:color w:val="6B7280"/>
                <w:sz w:val="17"/>
                <w:szCs w:val="17"/>
              </w:rPr>
              <w:t>Brand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4" w:space="0" w:color="D1D5DB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3E35FA6F" w14:textId="77777777" w:rsidR="00F53719" w:rsidRDefault="00000000">
            <w:r>
              <w:rPr>
                <w:b/>
                <w:bCs/>
                <w:caps/>
                <w:color w:val="6B7280"/>
                <w:sz w:val="17"/>
                <w:szCs w:val="17"/>
              </w:rPr>
              <w:t>What we're borrowing from it</w:t>
            </w:r>
          </w:p>
        </w:tc>
      </w:tr>
      <w:tr w:rsidR="00F53719" w14:paraId="7E3F6AB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20" w:type="dxa"/>
            </w:tcMar>
          </w:tcPr>
          <w:p w14:paraId="0D9A4DA1" w14:textId="77777777" w:rsidR="00F53719" w:rsidRDefault="00000000">
            <w:r>
              <w:rPr>
                <w:b/>
                <w:bCs/>
                <w:color w:val="111827"/>
                <w:sz w:val="19"/>
                <w:szCs w:val="19"/>
              </w:rPr>
              <w:t>Deadpoint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20" w:type="dxa"/>
              <w:bottom w:w="60" w:type="dxa"/>
              <w:right w:w="0" w:type="dxa"/>
            </w:tcMar>
          </w:tcPr>
          <w:p w14:paraId="73A0E35D" w14:textId="77777777" w:rsidR="00F53719" w:rsidRDefault="00000000">
            <w:r>
              <w:rPr>
                <w:color w:val="374151"/>
                <w:sz w:val="19"/>
                <w:szCs w:val="19"/>
              </w:rPr>
              <w:t>Direct sibling product — same firm. The design must share its spatial language, weight contrast, and dark-first orientation. This is the strongest reference.</w:t>
            </w:r>
          </w:p>
        </w:tc>
      </w:tr>
      <w:tr w:rsidR="00F53719" w14:paraId="2797DA7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20" w:type="dxa"/>
            </w:tcMar>
          </w:tcPr>
          <w:p w14:paraId="61EE8330" w14:textId="77777777" w:rsidR="00F53719" w:rsidRDefault="00000000">
            <w:r>
              <w:rPr>
                <w:b/>
                <w:bCs/>
                <w:color w:val="111827"/>
                <w:sz w:val="19"/>
                <w:szCs w:val="19"/>
              </w:rPr>
              <w:t>Linear (linear.app)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20" w:type="dxa"/>
              <w:bottom w:w="60" w:type="dxa"/>
              <w:right w:w="0" w:type="dxa"/>
            </w:tcMar>
          </w:tcPr>
          <w:p w14:paraId="162BC100" w14:textId="77777777" w:rsidR="00F53719" w:rsidRDefault="00000000">
            <w:r>
              <w:rPr>
                <w:color w:val="374151"/>
                <w:sz w:val="19"/>
                <w:szCs w:val="19"/>
              </w:rPr>
              <w:t>The logomark-plus-wordmark system: a simple, abstract geometric mark that reads clearly at icon size, paired with a sharp sans-serif wordmark. The dark-mode-first colour philosophy and monospace-adjacent type feel are directly relevant.</w:t>
            </w:r>
          </w:p>
        </w:tc>
      </w:tr>
      <w:tr w:rsidR="00F53719" w14:paraId="7A3748F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20" w:type="dxa"/>
            </w:tcMar>
          </w:tcPr>
          <w:p w14:paraId="07A3F8CC" w14:textId="77777777" w:rsidR="00F53719" w:rsidRDefault="00000000">
            <w:r>
              <w:rPr>
                <w:b/>
                <w:bCs/>
                <w:color w:val="111827"/>
                <w:sz w:val="19"/>
                <w:szCs w:val="19"/>
              </w:rPr>
              <w:t>Bloomberg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20" w:type="dxa"/>
              <w:bottom w:w="60" w:type="dxa"/>
              <w:right w:w="0" w:type="dxa"/>
            </w:tcMar>
          </w:tcPr>
          <w:p w14:paraId="388C521F" w14:textId="77777777" w:rsidR="00F53719" w:rsidRDefault="00000000">
            <w:r>
              <w:rPr>
                <w:color w:val="374151"/>
                <w:sz w:val="19"/>
                <w:szCs w:val="19"/>
              </w:rPr>
              <w:t>Institutional authority through typographic restraint. All-caps, tight tracking, monochromatic. Signals seriousness without decoration.</w:t>
            </w:r>
          </w:p>
        </w:tc>
      </w:tr>
      <w:tr w:rsidR="00F53719" w14:paraId="5C3358B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20" w:type="dxa"/>
            </w:tcMar>
          </w:tcPr>
          <w:p w14:paraId="35F67C60" w14:textId="77777777" w:rsidR="00F53719" w:rsidRDefault="00000000">
            <w:r>
              <w:rPr>
                <w:b/>
                <w:bCs/>
                <w:color w:val="111827"/>
                <w:sz w:val="19"/>
                <w:szCs w:val="19"/>
              </w:rPr>
              <w:t>Citadel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20" w:type="dxa"/>
              <w:bottom w:w="60" w:type="dxa"/>
              <w:right w:w="0" w:type="dxa"/>
            </w:tcMar>
          </w:tcPr>
          <w:p w14:paraId="4C0E5082" w14:textId="77777777" w:rsidR="00F53719" w:rsidRDefault="00000000">
            <w:r>
              <w:rPr>
                <w:color w:val="374151"/>
                <w:sz w:val="19"/>
                <w:szCs w:val="19"/>
              </w:rPr>
              <w:t>Wordmark-led, minimal, dark palette. Confidence through simplicity — no mark required. Useful reference for how a name alone can carry institutional weight.</w:t>
            </w:r>
          </w:p>
        </w:tc>
      </w:tr>
      <w:tr w:rsidR="00F53719" w14:paraId="42F6CB7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20" w:type="dxa"/>
            </w:tcMar>
          </w:tcPr>
          <w:p w14:paraId="38DEC430" w14:textId="77777777" w:rsidR="00F53719" w:rsidRDefault="00000000">
            <w:r>
              <w:rPr>
                <w:b/>
                <w:bCs/>
                <w:color w:val="111827"/>
                <w:sz w:val="19"/>
                <w:szCs w:val="19"/>
              </w:rPr>
              <w:t>Binance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20" w:type="dxa"/>
              <w:bottom w:w="60" w:type="dxa"/>
              <w:right w:w="0" w:type="dxa"/>
            </w:tcMar>
          </w:tcPr>
          <w:p w14:paraId="55193443" w14:textId="77777777" w:rsidR="00F53719" w:rsidRDefault="00000000">
            <w:r>
              <w:rPr>
                <w:color w:val="374151"/>
                <w:sz w:val="19"/>
                <w:szCs w:val="19"/>
              </w:rPr>
              <w:t>Dark-first, high-contrast, geometric. Relevant for its palette register (not its crypto-market associations). The boldness of a flat mark on a very dark background.</w:t>
            </w:r>
          </w:p>
        </w:tc>
      </w:tr>
      <w:tr w:rsidR="00F53719" w14:paraId="286ADD6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20" w:type="dxa"/>
            </w:tcMar>
          </w:tcPr>
          <w:p w14:paraId="10E8D8B2" w14:textId="77777777" w:rsidR="00F53719" w:rsidRDefault="00000000">
            <w:r>
              <w:rPr>
                <w:b/>
                <w:bCs/>
                <w:color w:val="111827"/>
                <w:sz w:val="19"/>
                <w:szCs w:val="19"/>
              </w:rPr>
              <w:t>Vercel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20" w:type="dxa"/>
              <w:bottom w:w="60" w:type="dxa"/>
              <w:right w:w="0" w:type="dxa"/>
            </w:tcMar>
          </w:tcPr>
          <w:p w14:paraId="4FCDE22E" w14:textId="77777777" w:rsidR="00F53719" w:rsidRDefault="00000000">
            <w:r>
              <w:rPr>
                <w:color w:val="374151"/>
                <w:sz w:val="19"/>
                <w:szCs w:val="19"/>
              </w:rPr>
              <w:t>Near-perfect favicon legibility from a simple geometric mark. A masterclass in a symbol that works at all sizes — useful reference for any logomark exploration.</w:t>
            </w:r>
          </w:p>
        </w:tc>
      </w:tr>
      <w:tr w:rsidR="0093169B" w14:paraId="0808FB8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20" w:type="dxa"/>
            </w:tcMar>
          </w:tcPr>
          <w:p w14:paraId="26BD427D" w14:textId="2C651D2F" w:rsidR="0093169B" w:rsidRDefault="0093169B"/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20" w:type="dxa"/>
              <w:bottom w:w="60" w:type="dxa"/>
              <w:right w:w="0" w:type="dxa"/>
            </w:tcMar>
          </w:tcPr>
          <w:p w14:paraId="45AC8F79" w14:textId="3E1D57A9" w:rsidR="0093169B" w:rsidRDefault="0093169B"/>
        </w:tc>
      </w:tr>
      <w:tr w:rsidR="0093169B" w14:paraId="0BBA880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60" w:type="dxa"/>
              <w:right w:w="120" w:type="dxa"/>
            </w:tcMar>
          </w:tcPr>
          <w:p w14:paraId="5BA683CB" w14:textId="1B65D713" w:rsidR="0093169B" w:rsidRDefault="0093169B"/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20" w:type="dxa"/>
              <w:bottom w:w="60" w:type="dxa"/>
              <w:right w:w="0" w:type="dxa"/>
            </w:tcMar>
          </w:tcPr>
          <w:p w14:paraId="1E1AF876" w14:textId="488B19B4" w:rsidR="0093169B" w:rsidRDefault="0093169B"/>
        </w:tc>
      </w:tr>
    </w:tbl>
    <w:p w14:paraId="0E025BFA" w14:textId="77777777" w:rsidR="00F53719" w:rsidRDefault="00F53719">
      <w:pPr>
        <w:spacing w:line="160" w:lineRule="auto"/>
      </w:pPr>
    </w:p>
    <w:p w14:paraId="0B8F45F6" w14:textId="77777777" w:rsidR="00F53719" w:rsidRDefault="00000000">
      <w:pPr>
        <w:pBdr>
          <w:bottom w:val="single" w:sz="6" w:space="4" w:color="00D4AA"/>
        </w:pBdr>
        <w:spacing w:before="320" w:after="80"/>
      </w:pPr>
      <w:r>
        <w:rPr>
          <w:b/>
          <w:bCs/>
          <w:caps/>
          <w:color w:val="111827"/>
          <w:spacing w:val="30"/>
          <w:sz w:val="22"/>
          <w:szCs w:val="22"/>
        </w:rPr>
        <w:t>11. Deliverables Requested</w:t>
      </w:r>
    </w:p>
    <w:p w14:paraId="127BB46E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Primary wordmark: dark version (for light backgrounds)</w:t>
      </w:r>
    </w:p>
    <w:p w14:paraId="2EC58D12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Primary wordmark: light / reversed version (for dark backgrounds)</w:t>
      </w:r>
    </w:p>
    <w:p w14:paraId="6BC1AC5A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Logomark / icon (if proposed): standalone at 1:1 ratio, usable as favicon</w:t>
      </w:r>
    </w:p>
    <w:p w14:paraId="7FFDD71A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Lockup variants: horizontal (wordmark + mark), wordmark-only</w:t>
      </w:r>
    </w:p>
    <w:p w14:paraId="4831FB8D" w14:textId="77777777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File formats: SVG (master), PNG @2x (white BG), PNG @2x (dark BG #06080C), favicon.ico</w:t>
      </w:r>
    </w:p>
    <w:p w14:paraId="408C3AD9" w14:textId="6CB3F9A4" w:rsidR="00F53719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374151"/>
        </w:rPr>
        <w:t>Colour usage guidance: at minimum, a note on when to use accent vs monochrome</w:t>
      </w:r>
    </w:p>
    <w:p w14:paraId="5EBA5C84" w14:textId="77777777" w:rsidR="00F53719" w:rsidRDefault="00F53719">
      <w:pPr>
        <w:spacing w:line="160" w:lineRule="auto"/>
      </w:pPr>
    </w:p>
    <w:p w14:paraId="2E7C0AF2" w14:textId="77777777" w:rsidR="00F53719" w:rsidRDefault="00000000">
      <w:pPr>
        <w:pBdr>
          <w:bottom w:val="single" w:sz="6" w:space="4" w:color="00D4AA"/>
        </w:pBdr>
        <w:spacing w:before="320" w:after="80"/>
      </w:pPr>
      <w:r>
        <w:rPr>
          <w:b/>
          <w:bCs/>
          <w:caps/>
          <w:color w:val="111827"/>
          <w:spacing w:val="30"/>
          <w:sz w:val="22"/>
          <w:szCs w:val="22"/>
        </w:rPr>
        <w:t>12. Note on the Existing Mark</w:t>
      </w:r>
    </w:p>
    <w:p w14:paraId="67BCBB55" w14:textId="77777777" w:rsidR="00F53719" w:rsidRDefault="00000000">
      <w:pPr>
        <w:spacing w:after="80"/>
      </w:pPr>
      <w:r>
        <w:rPr>
          <w:color w:val="374151"/>
        </w:rPr>
        <w:lastRenderedPageBreak/>
        <w:t>The current EdgeCraft mark is an all-caps wordmark with EDGE in bold and CRAFT in regular weight, in a dark navy. The designer is free to evolve, refine, or depart from this — the brief is open to proposals. However, any departure should feel intentional and additive relative to the existing direction, not a reset.</w:t>
      </w:r>
    </w:p>
    <w:p w14:paraId="4E6B886A" w14:textId="77777777" w:rsidR="00F53719" w:rsidRDefault="00F53719">
      <w:pPr>
        <w:spacing w:line="320" w:lineRule="auto"/>
      </w:pPr>
    </w:p>
    <w:p w14:paraId="0E5D30DD" w14:textId="77777777" w:rsidR="00F53719" w:rsidRDefault="00000000">
      <w:pPr>
        <w:pBdr>
          <w:top w:val="single" w:sz="4" w:space="8" w:color="E5E7EB"/>
        </w:pBdr>
      </w:pPr>
      <w:r>
        <w:rPr>
          <w:color w:val="8892A8"/>
          <w:sz w:val="17"/>
          <w:szCs w:val="17"/>
        </w:rPr>
        <w:t>EdgeCraft Group Capital Management LLC  ·  Confidential  ·  June 2026</w:t>
      </w:r>
    </w:p>
    <w:sectPr w:rsidR="00F5371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charset w:val="00"/>
    <w:family w:val="auto"/>
    <w:pitch w:val="variable"/>
    <w:sig w:usb0="8000002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27BE"/>
    <w:multiLevelType w:val="hybridMultilevel"/>
    <w:tmpl w:val="C486F152"/>
    <w:lvl w:ilvl="0" w:tplc="5B2CFC7E">
      <w:start w:val="1"/>
      <w:numFmt w:val="bullet"/>
      <w:lvlText w:val="●"/>
      <w:lvlJc w:val="left"/>
      <w:pPr>
        <w:ind w:left="720" w:hanging="360"/>
      </w:pPr>
    </w:lvl>
    <w:lvl w:ilvl="1" w:tplc="38349470">
      <w:start w:val="1"/>
      <w:numFmt w:val="bullet"/>
      <w:lvlText w:val="○"/>
      <w:lvlJc w:val="left"/>
      <w:pPr>
        <w:ind w:left="1440" w:hanging="360"/>
      </w:pPr>
    </w:lvl>
    <w:lvl w:ilvl="2" w:tplc="1B529D5C">
      <w:start w:val="1"/>
      <w:numFmt w:val="bullet"/>
      <w:lvlText w:val="■"/>
      <w:lvlJc w:val="left"/>
      <w:pPr>
        <w:ind w:left="2160" w:hanging="360"/>
      </w:pPr>
    </w:lvl>
    <w:lvl w:ilvl="3" w:tplc="54C0DFD2">
      <w:start w:val="1"/>
      <w:numFmt w:val="bullet"/>
      <w:lvlText w:val="●"/>
      <w:lvlJc w:val="left"/>
      <w:pPr>
        <w:ind w:left="2880" w:hanging="360"/>
      </w:pPr>
    </w:lvl>
    <w:lvl w:ilvl="4" w:tplc="3AEA773C">
      <w:start w:val="1"/>
      <w:numFmt w:val="bullet"/>
      <w:lvlText w:val="○"/>
      <w:lvlJc w:val="left"/>
      <w:pPr>
        <w:ind w:left="3600" w:hanging="360"/>
      </w:pPr>
    </w:lvl>
    <w:lvl w:ilvl="5" w:tplc="B1440E7A">
      <w:start w:val="1"/>
      <w:numFmt w:val="bullet"/>
      <w:lvlText w:val="■"/>
      <w:lvlJc w:val="left"/>
      <w:pPr>
        <w:ind w:left="4320" w:hanging="360"/>
      </w:pPr>
    </w:lvl>
    <w:lvl w:ilvl="6" w:tplc="B0A41F6E">
      <w:start w:val="1"/>
      <w:numFmt w:val="bullet"/>
      <w:lvlText w:val="●"/>
      <w:lvlJc w:val="left"/>
      <w:pPr>
        <w:ind w:left="5040" w:hanging="360"/>
      </w:pPr>
    </w:lvl>
    <w:lvl w:ilvl="7" w:tplc="3A66C618">
      <w:start w:val="1"/>
      <w:numFmt w:val="bullet"/>
      <w:lvlText w:val="●"/>
      <w:lvlJc w:val="left"/>
      <w:pPr>
        <w:ind w:left="5760" w:hanging="360"/>
      </w:pPr>
    </w:lvl>
    <w:lvl w:ilvl="8" w:tplc="FD24FCB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2BE0B3F"/>
    <w:multiLevelType w:val="hybridMultilevel"/>
    <w:tmpl w:val="2C8EC202"/>
    <w:lvl w:ilvl="0" w:tplc="604A6D2C">
      <w:start w:val="1"/>
      <w:numFmt w:val="bullet"/>
      <w:lvlText w:val="–"/>
      <w:lvlJc w:val="left"/>
      <w:pPr>
        <w:ind w:left="560" w:hanging="280"/>
      </w:pPr>
    </w:lvl>
    <w:lvl w:ilvl="1" w:tplc="BF1C466A">
      <w:numFmt w:val="decimal"/>
      <w:lvlText w:val=""/>
      <w:lvlJc w:val="left"/>
    </w:lvl>
    <w:lvl w:ilvl="2" w:tplc="A77A882E">
      <w:numFmt w:val="decimal"/>
      <w:lvlText w:val=""/>
      <w:lvlJc w:val="left"/>
    </w:lvl>
    <w:lvl w:ilvl="3" w:tplc="E9E8E7FC">
      <w:numFmt w:val="decimal"/>
      <w:lvlText w:val=""/>
      <w:lvlJc w:val="left"/>
    </w:lvl>
    <w:lvl w:ilvl="4" w:tplc="60F4FE5E">
      <w:numFmt w:val="decimal"/>
      <w:lvlText w:val=""/>
      <w:lvlJc w:val="left"/>
    </w:lvl>
    <w:lvl w:ilvl="5" w:tplc="1EAC178E">
      <w:numFmt w:val="decimal"/>
      <w:lvlText w:val=""/>
      <w:lvlJc w:val="left"/>
    </w:lvl>
    <w:lvl w:ilvl="6" w:tplc="25F0F4BA">
      <w:numFmt w:val="decimal"/>
      <w:lvlText w:val=""/>
      <w:lvlJc w:val="left"/>
    </w:lvl>
    <w:lvl w:ilvl="7" w:tplc="1206C9CE">
      <w:numFmt w:val="decimal"/>
      <w:lvlText w:val=""/>
      <w:lvlJc w:val="left"/>
    </w:lvl>
    <w:lvl w:ilvl="8" w:tplc="85EC37EA">
      <w:numFmt w:val="decimal"/>
      <w:lvlText w:val=""/>
      <w:lvlJc w:val="left"/>
    </w:lvl>
  </w:abstractNum>
  <w:num w:numId="1" w16cid:durableId="1611280159">
    <w:abstractNumId w:val="0"/>
    <w:lvlOverride w:ilvl="0">
      <w:startOverride w:val="1"/>
    </w:lvlOverride>
  </w:num>
  <w:num w:numId="2" w16cid:durableId="60584576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19"/>
    <w:rsid w:val="0093169B"/>
    <w:rsid w:val="00A00BE5"/>
    <w:rsid w:val="00F5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48FB"/>
  <w15:docId w15:val="{A10A6F73-BD0F-4ACC-B920-DE194996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="DM Sans" w:hAnsi="DM Sans" w:cs="DM Sans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80"/>
      <w:outlineLvl w:val="0"/>
    </w:pPr>
    <w:rPr>
      <w:b/>
      <w:bCs/>
      <w:sz w:val="22"/>
      <w:szCs w:val="2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1198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Nóra Fehér</cp:lastModifiedBy>
  <cp:revision>2</cp:revision>
  <dcterms:created xsi:type="dcterms:W3CDTF">2026-06-16T14:49:00Z</dcterms:created>
  <dcterms:modified xsi:type="dcterms:W3CDTF">2026-06-16T15:12:00Z</dcterms:modified>
</cp:coreProperties>
</file>