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rPr>
          <w:rFonts w:ascii="Roboto" w:cs="Roboto" w:eastAsia="Roboto" w:hAnsi="Roboto"/>
          <w:b w:val="1"/>
          <w:bCs w:val="1"/>
          <w:sz w:val="30"/>
          <w:szCs w:val="30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30"/>
          <w:szCs w:val="30"/>
          <w:rtl w:val="0"/>
        </w:rPr>
        <w:t xml:space="preserve">References: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rFonts w:ascii="Roboto" w:cs="Roboto" w:eastAsia="Roboto" w:hAnsi="Roboto"/>
          <w:b w:val="1"/>
          <w:bCs w:val="1"/>
        </w:rPr>
      </w:pPr>
      <w:hyperlink r:id="rId6">
        <w:r w:rsidDel="00000000" w:rsidR="00000000" w:rsidRPr="00000000">
          <w:rPr>
            <w:rFonts w:ascii="Roboto" w:cs="Roboto" w:eastAsia="Roboto" w:hAnsi="Roboto"/>
            <w:b w:val="1"/>
            <w:bCs w:val="1"/>
            <w:color w:val="1155cc"/>
            <w:u w:val="single"/>
            <w:rtl w:val="0"/>
          </w:rPr>
          <w:t xml:space="preserve">https://www.paybackfx.com/brokers/ic-markets/6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rPr>
          <w:rFonts w:ascii="Roboto" w:cs="Roboto" w:eastAsia="Roboto" w:hAnsi="Roboto"/>
          <w:b w:val="1"/>
          <w:bCs w:val="1"/>
        </w:rPr>
      </w:pPr>
      <w:hyperlink r:id="rId7">
        <w:r w:rsidDel="00000000" w:rsidR="00000000" w:rsidRPr="00000000">
          <w:rPr>
            <w:rFonts w:ascii="Roboto" w:cs="Roboto" w:eastAsia="Roboto" w:hAnsi="Roboto"/>
            <w:b w:val="1"/>
            <w:bCs w:val="1"/>
            <w:color w:val="1155cc"/>
            <w:u w:val="single"/>
            <w:rtl w:val="0"/>
          </w:rPr>
          <w:t xml:space="preserve">https://premium-rebate.com/rebates/tickmill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rPr>
          <w:rFonts w:ascii="Roboto" w:cs="Roboto" w:eastAsia="Roboto" w:hAnsi="Roboto"/>
          <w:b w:val="1"/>
          <w:bCs w:val="1"/>
        </w:rPr>
      </w:pPr>
      <w:hyperlink r:id="rId8">
        <w:r w:rsidDel="00000000" w:rsidR="00000000" w:rsidRPr="00000000">
          <w:rPr>
            <w:rFonts w:ascii="Roboto" w:cs="Roboto" w:eastAsia="Roboto" w:hAnsi="Roboto"/>
            <w:b w:val="1"/>
            <w:bCs w:val="1"/>
            <w:color w:val="1155cc"/>
            <w:u w:val="single"/>
            <w:rtl w:val="0"/>
          </w:rPr>
          <w:t xml:space="preserve">https://www.forexcashbackcloud.com/brokers/exness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rPr>
          <w:rFonts w:ascii="Roboto" w:cs="Roboto" w:eastAsia="Roboto" w:hAnsi="Roboto"/>
          <w:b w:val="1"/>
          <w:bCs w:val="1"/>
          <w:sz w:val="30"/>
          <w:szCs w:val="30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30"/>
          <w:szCs w:val="30"/>
          <w:rtl w:val="0"/>
        </w:rPr>
        <w:t xml:space="preserve">The layout design will include:</w:t>
      </w:r>
    </w:p>
    <w:p w:rsidR="00000000" w:rsidDel="00000000" w:rsidP="00000000" w:rsidRDefault="00000000" w:rsidRPr="00000000" w14:paraId="00000006">
      <w:pPr>
        <w:spacing w:after="240" w:before="240" w:lineRule="auto"/>
        <w:rPr>
          <w:rFonts w:ascii="Roboto" w:cs="Roboto" w:eastAsia="Roboto" w:hAnsi="Roboto"/>
          <w:b w:val="1"/>
          <w:bCs w:val="1"/>
          <w:sz w:val="30"/>
          <w:szCs w:val="30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30"/>
          <w:szCs w:val="30"/>
          <w:rtl w:val="0"/>
        </w:rPr>
        <w:t xml:space="preserve">1. HERO SECTION (Top of the Page) – Hook Users Within 3 Seconds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Broker Logo &amp; Broker Name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 (e.g., </w:t>
      </w:r>
      <w:r w:rsidDel="00000000" w:rsidR="00000000" w:rsidRPr="00000000">
        <w:rPr>
          <w:rFonts w:ascii="Roboto" w:cs="Roboto" w:eastAsia="Roboto" w:hAnsi="Roboto"/>
          <w:i w:val="1"/>
          <w:iCs w:val="1"/>
          <w:sz w:val="26"/>
          <w:szCs w:val="26"/>
          <w:rtl w:val="0"/>
        </w:rPr>
        <w:t xml:space="preserve">IC Markets - Leading Global ECN Broker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).</w:t>
      </w:r>
    </w:p>
    <w:p w:rsidR="00000000" w:rsidDel="00000000" w:rsidP="00000000" w:rsidRDefault="00000000" w:rsidRPr="00000000" w14:paraId="00000008">
      <w:pPr>
        <w:spacing w:after="240" w:before="240" w:lineRule="auto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Rating &amp; User Counter: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 5-star rating system + total active users (e.g., "4.5/5 stars | 10,000+ Active Traders").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Key Benefit / Main Slogan (Large Font):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"Get Up To [X]% Spread or $[Y]/Lot Cashback"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.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rFonts w:ascii="Roboto" w:cs="Roboto" w:eastAsia="Roboto" w:hAnsi="Roboto"/>
          <w:b w:val="1"/>
          <w:b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Account Connection Widget (Quick Actions):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after="0" w:afterAutospacing="0" w:before="240" w:lineRule="auto"/>
        <w:ind w:left="72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Our Referral Code / Partner ID: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sz w:val="26"/>
          <w:szCs w:val="26"/>
          <w:rtl w:val="0"/>
        </w:rPr>
        <w:t xml:space="preserve">[Your Code]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 (With a "Copy" button).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CTA Button 1: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[OPEN NEW ACCOUNT &amp; GET REBATE]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 (Primary color).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CTA Button 2: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[LINK EXISTING ACCOUNT]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 (Secondary/Outline style).</w:t>
      </w:r>
    </w:p>
    <w:p w:rsidR="00000000" w:rsidDel="00000000" w:rsidP="00000000" w:rsidRDefault="00000000" w:rsidRPr="00000000" w14:paraId="0000000E">
      <w:pPr>
        <w:spacing w:after="240" w:before="240" w:lineRule="auto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</w:rPr>
        <w:drawing>
          <wp:inline distB="114300" distT="114300" distL="114300" distR="114300">
            <wp:extent cx="5943600" cy="1028700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</w:rPr>
        <w:drawing>
          <wp:inline distB="114300" distT="114300" distL="114300" distR="114300">
            <wp:extent cx="5943600" cy="2959100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3"/>
        <w:keepNext w:val="0"/>
        <w:keepLines w:val="0"/>
        <w:spacing w:before="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ffnl205lgnyj" w:id="0"/>
      <w:bookmarkEnd w:id="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2. REBATE RATES TABLE – Core Value Proposition</w:t>
      </w:r>
    </w:p>
    <w:p w:rsidR="00000000" w:rsidDel="00000000" w:rsidP="00000000" w:rsidRDefault="00000000" w:rsidRPr="00000000" w14:paraId="00000012">
      <w:pPr>
        <w:spacing w:after="240" w:lineRule="auto"/>
        <w:rPr>
          <w:i w:val="1"/>
          <w:iCs w:val="1"/>
          <w:sz w:val="26"/>
          <w:szCs w:val="26"/>
        </w:rPr>
      </w:pPr>
      <w:r w:rsidDel="00000000" w:rsidR="00000000" w:rsidRPr="00000000">
        <w:rPr>
          <w:i w:val="1"/>
          <w:iCs w:val="1"/>
          <w:sz w:val="26"/>
          <w:szCs w:val="26"/>
          <w:rtl w:val="0"/>
        </w:rPr>
        <w:t xml:space="preserve">A clean, highly scannable grid showing cashback rates broken down by Account Type and Trading Instruments:</w:t>
      </w:r>
    </w:p>
    <w:tbl>
      <w:tblPr>
        <w:tblStyle w:val="Table1"/>
        <w:tblW w:w="87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415"/>
        <w:gridCol w:w="1890"/>
        <w:gridCol w:w="2025"/>
        <w:gridCol w:w="1200"/>
        <w:gridCol w:w="1230"/>
        <w:tblGridChange w:id="0">
          <w:tblGrid>
            <w:gridCol w:w="2415"/>
            <w:gridCol w:w="1890"/>
            <w:gridCol w:w="2025"/>
            <w:gridCol w:w="1200"/>
            <w:gridCol w:w="1230"/>
          </w:tblGrid>
        </w:tblGridChange>
      </w:tblGrid>
      <w:tr>
        <w:trPr>
          <w:cantSplit w:val="0"/>
          <w:trHeight w:val="810" w:hRule="atLeast"/>
          <w:tblHeader w:val="0"/>
        </w:trPr>
        <w:tc>
          <w:tcPr>
            <w:tcBorders>
              <w:top w:color="c4c7c5" w:space="0" w:sz="5" w:val="single"/>
              <w:left w:color="c4c7c5" w:space="0" w:sz="5" w:val="single"/>
              <w:bottom w:color="c4c7c5" w:space="0" w:sz="5" w:val="single"/>
              <w:right w:color="c4c7c5" w:space="0" w:sz="5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48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sz w:val="26"/>
                <w:szCs w:val="26"/>
                <w:rtl w:val="0"/>
              </w:rPr>
              <w:t xml:space="preserve">Account 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4c7c5" w:space="0" w:sz="5" w:val="single"/>
              <w:left w:color="c4c7c5" w:space="0" w:sz="5" w:val="single"/>
              <w:bottom w:color="c4c7c5" w:space="0" w:sz="5" w:val="single"/>
              <w:right w:color="c4c7c5" w:space="0" w:sz="5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48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sz w:val="26"/>
                <w:szCs w:val="26"/>
                <w:rtl w:val="0"/>
              </w:rPr>
              <w:t xml:space="preserve">FX (Currencies)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4c7c5" w:space="0" w:sz="5" w:val="single"/>
              <w:left w:color="c4c7c5" w:space="0" w:sz="5" w:val="single"/>
              <w:bottom w:color="c4c7c5" w:space="0" w:sz="5" w:val="single"/>
              <w:right w:color="c4c7c5" w:space="0" w:sz="5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48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sz w:val="26"/>
                <w:szCs w:val="26"/>
                <w:rtl w:val="0"/>
              </w:rPr>
              <w:t xml:space="preserve">Metals (Gold/Silver)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4c7c5" w:space="0" w:sz="5" w:val="single"/>
              <w:left w:color="c4c7c5" w:space="0" w:sz="5" w:val="single"/>
              <w:bottom w:color="c4c7c5" w:space="0" w:sz="5" w:val="single"/>
              <w:right w:color="c4c7c5" w:space="0" w:sz="5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48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sz w:val="26"/>
                <w:szCs w:val="26"/>
                <w:rtl w:val="0"/>
              </w:rPr>
              <w:t xml:space="preserve">Crypto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4c7c5" w:space="0" w:sz="5" w:val="single"/>
              <w:left w:color="c4c7c5" w:space="0" w:sz="5" w:val="single"/>
              <w:bottom w:color="c4c7c5" w:space="0" w:sz="5" w:val="single"/>
              <w:right w:color="c4c7c5" w:space="0" w:sz="5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after="48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sz w:val="26"/>
                <w:szCs w:val="26"/>
                <w:rtl w:val="0"/>
              </w:rPr>
              <w:t xml:space="preserve">Indices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95" w:hRule="atLeast"/>
          <w:tblHeader w:val="0"/>
        </w:trPr>
        <w:tc>
          <w:tcPr>
            <w:tcBorders>
              <w:top w:color="c4c7c5" w:space="0" w:sz="5" w:val="single"/>
              <w:left w:color="c4c7c5" w:space="0" w:sz="5" w:val="single"/>
              <w:bottom w:color="c4c7c5" w:space="0" w:sz="5" w:val="single"/>
              <w:right w:color="c4c7c5" w:space="0" w:sz="5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48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sz w:val="26"/>
                <w:szCs w:val="26"/>
                <w:rtl w:val="0"/>
              </w:rPr>
              <w:t xml:space="preserve">Standard (Commission-Free)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4c7c5" w:space="0" w:sz="5" w:val="single"/>
              <w:left w:color="c4c7c5" w:space="0" w:sz="5" w:val="single"/>
              <w:bottom w:color="c4c7c5" w:space="0" w:sz="5" w:val="single"/>
              <w:right w:color="c4c7c5" w:space="0" w:sz="5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48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$8 / lot</w:t>
            </w:r>
          </w:p>
        </w:tc>
        <w:tc>
          <w:tcPr>
            <w:tcBorders>
              <w:top w:color="c4c7c5" w:space="0" w:sz="5" w:val="single"/>
              <w:left w:color="c4c7c5" w:space="0" w:sz="5" w:val="single"/>
              <w:bottom w:color="c4c7c5" w:space="0" w:sz="5" w:val="single"/>
              <w:right w:color="c4c7c5" w:space="0" w:sz="5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48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$17 / lot</w:t>
            </w:r>
          </w:p>
        </w:tc>
        <w:tc>
          <w:tcPr>
            <w:tcBorders>
              <w:top w:color="c4c7c5" w:space="0" w:sz="5" w:val="single"/>
              <w:left w:color="c4c7c5" w:space="0" w:sz="5" w:val="single"/>
              <w:bottom w:color="c4c7c5" w:space="0" w:sz="5" w:val="single"/>
              <w:right w:color="c4c7c5" w:space="0" w:sz="5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48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$0.8 / lot</w:t>
            </w:r>
          </w:p>
        </w:tc>
        <w:tc>
          <w:tcPr>
            <w:tcBorders>
              <w:top w:color="c4c7c5" w:space="0" w:sz="5" w:val="single"/>
              <w:left w:color="c4c7c5" w:space="0" w:sz="5" w:val="single"/>
              <w:bottom w:color="c4c7c5" w:space="0" w:sz="5" w:val="single"/>
              <w:right w:color="c4c7c5" w:space="0" w:sz="5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48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$2 / lot</w:t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tcBorders>
              <w:top w:color="c4c7c5" w:space="0" w:sz="5" w:val="single"/>
              <w:left w:color="c4c7c5" w:space="0" w:sz="5" w:val="single"/>
              <w:bottom w:color="c4c7c5" w:space="0" w:sz="5" w:val="single"/>
              <w:right w:color="c4c7c5" w:space="0" w:sz="5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48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sz w:val="26"/>
                <w:szCs w:val="26"/>
                <w:rtl w:val="0"/>
              </w:rPr>
              <w:t xml:space="preserve">Raw Spread / ECN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4c7c5" w:space="0" w:sz="5" w:val="single"/>
              <w:left w:color="c4c7c5" w:space="0" w:sz="5" w:val="single"/>
              <w:bottom w:color="c4c7c5" w:space="0" w:sz="5" w:val="single"/>
              <w:right w:color="c4c7c5" w:space="0" w:sz="5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48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$2.5 / lot</w:t>
            </w:r>
          </w:p>
        </w:tc>
        <w:tc>
          <w:tcPr>
            <w:tcBorders>
              <w:top w:color="c4c7c5" w:space="0" w:sz="5" w:val="single"/>
              <w:left w:color="c4c7c5" w:space="0" w:sz="5" w:val="single"/>
              <w:bottom w:color="c4c7c5" w:space="0" w:sz="5" w:val="single"/>
              <w:right w:color="c4c7c5" w:space="0" w:sz="5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48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$5 / lot</w:t>
            </w:r>
          </w:p>
        </w:tc>
        <w:tc>
          <w:tcPr>
            <w:tcBorders>
              <w:top w:color="c4c7c5" w:space="0" w:sz="5" w:val="single"/>
              <w:left w:color="c4c7c5" w:space="0" w:sz="5" w:val="single"/>
              <w:bottom w:color="c4c7c5" w:space="0" w:sz="5" w:val="single"/>
              <w:right w:color="c4c7c5" w:space="0" w:sz="5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48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$1.7 / lot</w:t>
            </w:r>
          </w:p>
        </w:tc>
        <w:tc>
          <w:tcPr>
            <w:tcBorders>
              <w:top w:color="c4c7c5" w:space="0" w:sz="5" w:val="single"/>
              <w:left w:color="c4c7c5" w:space="0" w:sz="5" w:val="single"/>
              <w:bottom w:color="c4c7c5" w:space="0" w:sz="5" w:val="single"/>
              <w:right w:color="c4c7c5" w:space="0" w:sz="5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48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$1.7 / lot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c4c7c5" w:space="0" w:sz="5" w:val="single"/>
              <w:left w:color="c4c7c5" w:space="0" w:sz="5" w:val="single"/>
              <w:bottom w:color="c4c7c5" w:space="0" w:sz="5" w:val="single"/>
              <w:right w:color="c4c7c5" w:space="0" w:sz="5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48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sz w:val="26"/>
                <w:szCs w:val="26"/>
                <w:rtl w:val="0"/>
              </w:rPr>
              <w:t xml:space="preserve">Micro / Cent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4c7c5" w:space="0" w:sz="5" w:val="single"/>
              <w:left w:color="c4c7c5" w:space="0" w:sz="5" w:val="single"/>
              <w:bottom w:color="c4c7c5" w:space="0" w:sz="5" w:val="single"/>
              <w:right w:color="c4c7c5" w:space="0" w:sz="5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48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13¢ / lot</w:t>
            </w:r>
          </w:p>
        </w:tc>
        <w:tc>
          <w:tcPr>
            <w:tcBorders>
              <w:top w:color="c4c7c5" w:space="0" w:sz="5" w:val="single"/>
              <w:left w:color="c4c7c5" w:space="0" w:sz="5" w:val="single"/>
              <w:bottom w:color="c4c7c5" w:space="0" w:sz="5" w:val="single"/>
              <w:right w:color="c4c7c5" w:space="0" w:sz="5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48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17¢ / lot</w:t>
            </w:r>
          </w:p>
        </w:tc>
        <w:tc>
          <w:tcPr>
            <w:tcBorders>
              <w:top w:color="c4c7c5" w:space="0" w:sz="5" w:val="single"/>
              <w:left w:color="c4c7c5" w:space="0" w:sz="5" w:val="single"/>
              <w:bottom w:color="c4c7c5" w:space="0" w:sz="5" w:val="single"/>
              <w:right w:color="c4c7c5" w:space="0" w:sz="5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48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N/A</w:t>
            </w:r>
          </w:p>
        </w:tc>
        <w:tc>
          <w:tcPr>
            <w:tcBorders>
              <w:top w:color="c4c7c5" w:space="0" w:sz="5" w:val="single"/>
              <w:left w:color="c4c7c5" w:space="0" w:sz="5" w:val="single"/>
              <w:bottom w:color="c4c7c5" w:space="0" w:sz="5" w:val="single"/>
              <w:right w:color="c4c7c5" w:space="0" w:sz="5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48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N/A</w:t>
            </w:r>
          </w:p>
        </w:tc>
      </w:tr>
    </w:tbl>
    <w:p w:rsidR="00000000" w:rsidDel="00000000" w:rsidP="00000000" w:rsidRDefault="00000000" w:rsidRPr="00000000" w14:paraId="00000027">
      <w:pPr>
        <w:spacing w:after="240" w:before="240" w:lineRule="auto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Rule="auto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</w:rPr>
        <w:drawing>
          <wp:inline distB="114300" distT="114300" distL="114300" distR="114300">
            <wp:extent cx="5943600" cy="2514600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3"/>
        <w:keepNext w:val="0"/>
        <w:keepLines w:val="0"/>
        <w:spacing w:before="280" w:lineRule="auto"/>
        <w:rPr>
          <w:rFonts w:ascii="Roboto" w:cs="Roboto" w:eastAsia="Roboto" w:hAnsi="Roboto"/>
          <w:b w:val="1"/>
          <w:bCs w:val="1"/>
          <w:color w:val="000000"/>
          <w:sz w:val="26"/>
          <w:szCs w:val="26"/>
        </w:rPr>
      </w:pPr>
      <w:bookmarkStart w:colFirst="0" w:colLast="0" w:name="_wgpomuanfi7y" w:id="1"/>
      <w:bookmarkEnd w:id="1"/>
      <w:r w:rsidDel="00000000" w:rsidR="00000000" w:rsidRPr="00000000">
        <w:rPr>
          <w:rFonts w:ascii="Roboto" w:cs="Roboto" w:eastAsia="Roboto" w:hAnsi="Roboto"/>
          <w:b w:val="1"/>
          <w:bCs w:val="1"/>
          <w:color w:val="000000"/>
          <w:sz w:val="26"/>
          <w:szCs w:val="26"/>
          <w:rtl w:val="0"/>
        </w:rPr>
        <w:t xml:space="preserve">3. REBATE DETAILS &amp; CONDITIONS – Transparency &amp; Rules</w:t>
      </w:r>
    </w:p>
    <w:p w:rsidR="00000000" w:rsidDel="00000000" w:rsidP="00000000" w:rsidRDefault="00000000" w:rsidRPr="00000000" w14:paraId="0000002A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shzdcjb9lnuf" w:id="2"/>
      <w:bookmarkEnd w:id="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4. INTERACTIVE REBATE CALCULATOR – Engagement Tool</w:t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User Input Sliders:</w:t>
      </w:r>
      <w:r w:rsidDel="00000000" w:rsidR="00000000" w:rsidRPr="00000000">
        <w:rPr>
          <w:rtl w:val="0"/>
        </w:rPr>
        <w:t xml:space="preserve"> *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[Daily Trading Volume (Lots)]</w:t>
      </w:r>
    </w:p>
    <w:p w:rsidR="00000000" w:rsidDel="00000000" w:rsidP="00000000" w:rsidRDefault="00000000" w:rsidRPr="00000000" w14:paraId="0000002C">
      <w:pPr>
        <w:numPr>
          <w:ilvl w:val="1"/>
          <w:numId w:val="4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[Trading Days Per Month]</w:t>
      </w:r>
    </w:p>
    <w:p w:rsidR="00000000" w:rsidDel="00000000" w:rsidP="00000000" w:rsidRDefault="00000000" w:rsidRPr="00000000" w14:paraId="0000002D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Real-time Dynamic Output Display:</w:t>
      </w:r>
    </w:p>
    <w:p w:rsidR="00000000" w:rsidDel="00000000" w:rsidP="00000000" w:rsidRDefault="00000000" w:rsidRPr="00000000" w14:paraId="0000002E">
      <w:pPr>
        <w:numPr>
          <w:ilvl w:val="1"/>
          <w:numId w:val="4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Extra Monthly Earnings: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$367.50</w:t>
      </w:r>
    </w:p>
    <w:p w:rsidR="00000000" w:rsidDel="00000000" w:rsidP="00000000" w:rsidRDefault="00000000" w:rsidRPr="00000000" w14:paraId="0000002F">
      <w:pPr>
        <w:numPr>
          <w:ilvl w:val="1"/>
          <w:numId w:val="4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Extra Yearly Earnings: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$4,410.00</w:t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i w:val="1"/>
          <w:iCs w:val="1"/>
          <w:rtl w:val="0"/>
        </w:rPr>
        <w:t xml:space="preserve">Designer Note:</w:t>
      </w:r>
      <w:r w:rsidDel="00000000" w:rsidR="00000000" w:rsidRPr="00000000">
        <w:rPr>
          <w:rtl w:val="0"/>
        </w:rPr>
        <w:t xml:space="preserve"> Make the potential earnings look big, bold, and highly rewarding to boost registrations.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/>
        <w:drawing>
          <wp:inline distB="114300" distT="114300" distL="114300" distR="114300">
            <wp:extent cx="5514975" cy="50673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506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5527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0099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3"/>
        <w:keepNext w:val="0"/>
        <w:keepLines w:val="0"/>
        <w:spacing w:before="280" w:lineRule="auto"/>
        <w:rPr>
          <w:rFonts w:ascii="Roboto" w:cs="Roboto" w:eastAsia="Roboto" w:hAnsi="Roboto"/>
          <w:b w:val="1"/>
          <w:bCs w:val="1"/>
          <w:color w:val="000000"/>
          <w:sz w:val="26"/>
          <w:szCs w:val="26"/>
        </w:rPr>
      </w:pPr>
      <w:bookmarkStart w:colFirst="0" w:colLast="0" w:name="_bgcwb6rydlpq" w:id="3"/>
      <w:bookmarkEnd w:id="3"/>
      <w:r w:rsidDel="00000000" w:rsidR="00000000" w:rsidRPr="00000000">
        <w:rPr>
          <w:rFonts w:ascii="Roboto" w:cs="Roboto" w:eastAsia="Roboto" w:hAnsi="Roboto"/>
          <w:b w:val="1"/>
          <w:bCs w:val="1"/>
          <w:color w:val="000000"/>
          <w:sz w:val="26"/>
          <w:szCs w:val="26"/>
          <w:rtl w:val="0"/>
        </w:rPr>
        <w:t xml:space="preserve">5. BROKER GENERAL INFO &amp; TRADING CONDITIONS – Trust Building</w:t>
      </w:r>
    </w:p>
    <w:p w:rsidR="00000000" w:rsidDel="00000000" w:rsidP="00000000" w:rsidRDefault="00000000" w:rsidRPr="00000000" w14:paraId="00000036">
      <w:pPr>
        <w:numPr>
          <w:ilvl w:val="0"/>
          <w:numId w:val="5"/>
        </w:numPr>
        <w:spacing w:after="0" w:afterAutospacing="0" w:before="240" w:lineRule="auto"/>
        <w:ind w:left="72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Regulatory &amp; Safety: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 Company Name, Founded Year, Headquarters, and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Licenses/Regulators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 (e.g., ASIC, CySEC, FSA).</w:t>
      </w:r>
    </w:p>
    <w:p w:rsidR="00000000" w:rsidDel="00000000" w:rsidP="00000000" w:rsidRDefault="00000000" w:rsidRPr="00000000" w14:paraId="00000037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Trading Environment Details:</w:t>
      </w:r>
    </w:p>
    <w:p w:rsidR="00000000" w:rsidDel="00000000" w:rsidP="00000000" w:rsidRDefault="00000000" w:rsidRPr="00000000" w14:paraId="00000038">
      <w:pPr>
        <w:numPr>
          <w:ilvl w:val="1"/>
          <w:numId w:val="5"/>
        </w:numPr>
        <w:spacing w:after="0" w:afterAutospacing="0" w:before="0" w:beforeAutospacing="0" w:lineRule="auto"/>
        <w:ind w:left="144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Minimum Deposit (e.g., $5 USD).</w:t>
      </w:r>
    </w:p>
    <w:p w:rsidR="00000000" w:rsidDel="00000000" w:rsidP="00000000" w:rsidRDefault="00000000" w:rsidRPr="00000000" w14:paraId="00000039">
      <w:pPr>
        <w:numPr>
          <w:ilvl w:val="1"/>
          <w:numId w:val="5"/>
        </w:numPr>
        <w:spacing w:after="0" w:afterAutospacing="0" w:before="0" w:beforeAutospacing="0" w:lineRule="auto"/>
        <w:ind w:left="144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Maximum Leverage (e.g., 1:1000).</w:t>
      </w:r>
    </w:p>
    <w:p w:rsidR="00000000" w:rsidDel="00000000" w:rsidP="00000000" w:rsidRDefault="00000000" w:rsidRPr="00000000" w14:paraId="0000003A">
      <w:pPr>
        <w:numPr>
          <w:ilvl w:val="1"/>
          <w:numId w:val="5"/>
        </w:numPr>
        <w:spacing w:after="0" w:afterAutospacing="0" w:before="0" w:beforeAutospacing="0" w:lineRule="auto"/>
        <w:ind w:left="144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Trading Platforms (MT4, MT5, cTrader).</w:t>
      </w:r>
    </w:p>
    <w:p w:rsidR="00000000" w:rsidDel="00000000" w:rsidP="00000000" w:rsidRDefault="00000000" w:rsidRPr="00000000" w14:paraId="0000003B">
      <w:pPr>
        <w:numPr>
          <w:ilvl w:val="1"/>
          <w:numId w:val="5"/>
        </w:numPr>
        <w:spacing w:after="0" w:afterAutospacing="0" w:before="0" w:beforeAutospacing="0" w:lineRule="auto"/>
        <w:ind w:left="144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Allowed Strategies: EA allowed, Scalping allowed, Hedging allowed, Swap-free accounts.</w:t>
      </w:r>
    </w:p>
    <w:p w:rsidR="00000000" w:rsidDel="00000000" w:rsidP="00000000" w:rsidRDefault="00000000" w:rsidRPr="00000000" w14:paraId="0000003C">
      <w:pPr>
        <w:numPr>
          <w:ilvl w:val="0"/>
          <w:numId w:val="5"/>
        </w:numPr>
        <w:spacing w:after="240" w:before="0" w:beforeAutospacing="0" w:lineRule="auto"/>
        <w:ind w:left="72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Deposit/Withdrawal Methods: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 Icons of supported gateways (Local Internet Banking, Visa/Mastercard, Skrill, Neteller, USDT).</w:t>
      </w:r>
    </w:p>
    <w:p w:rsidR="00000000" w:rsidDel="00000000" w:rsidP="00000000" w:rsidRDefault="00000000" w:rsidRPr="00000000" w14:paraId="0000003D">
      <w:pPr>
        <w:spacing w:after="240" w:before="240" w:lineRule="auto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</w:rPr>
        <w:drawing>
          <wp:inline distB="114300" distT="114300" distL="114300" distR="114300">
            <wp:extent cx="5943600" cy="59563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40" w:before="240" w:lineRule="auto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3"/>
        <w:keepNext w:val="0"/>
        <w:keepLines w:val="0"/>
        <w:spacing w:before="280" w:lineRule="auto"/>
        <w:rPr>
          <w:rFonts w:ascii="Roboto" w:cs="Roboto" w:eastAsia="Roboto" w:hAnsi="Roboto"/>
          <w:b w:val="1"/>
          <w:bCs w:val="1"/>
          <w:color w:val="000000"/>
          <w:sz w:val="26"/>
          <w:szCs w:val="26"/>
        </w:rPr>
      </w:pPr>
      <w:bookmarkStart w:colFirst="0" w:colLast="0" w:name="_desa5q1jc5nx" w:id="4"/>
      <w:bookmarkEnd w:id="4"/>
      <w:r w:rsidDel="00000000" w:rsidR="00000000" w:rsidRPr="00000000">
        <w:rPr>
          <w:rFonts w:ascii="Roboto" w:cs="Roboto" w:eastAsia="Roboto" w:hAnsi="Roboto"/>
          <w:b w:val="1"/>
          <w:bCs w:val="1"/>
          <w:color w:val="000000"/>
          <w:sz w:val="26"/>
          <w:szCs w:val="26"/>
          <w:rtl w:val="0"/>
        </w:rPr>
        <w:t xml:space="preserve">6. "HOW IT WORKS" SECTION – 3 Simple Steps (Onboarding UX)</w:t>
      </w:r>
    </w:p>
    <w:p w:rsidR="00000000" w:rsidDel="00000000" w:rsidP="00000000" w:rsidRDefault="00000000" w:rsidRPr="00000000" w14:paraId="00000040">
      <w:pPr>
        <w:spacing w:after="240" w:before="240" w:lineRule="auto"/>
        <w:rPr>
          <w:rFonts w:ascii="Roboto" w:cs="Roboto" w:eastAsia="Roboto" w:hAnsi="Roboto"/>
          <w:i w:val="1"/>
          <w:i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sz w:val="26"/>
          <w:szCs w:val="26"/>
          <w:rtl w:val="0"/>
        </w:rPr>
        <w:t xml:space="preserve">Use simple step-by-step layouts with clean custom icons or a short video:</w:t>
      </w:r>
    </w:p>
    <w:p w:rsidR="00000000" w:rsidDel="00000000" w:rsidP="00000000" w:rsidRDefault="00000000" w:rsidRPr="00000000" w14:paraId="00000041">
      <w:pPr>
        <w:numPr>
          <w:ilvl w:val="0"/>
          <w:numId w:val="3"/>
        </w:numPr>
        <w:spacing w:after="0" w:afterAutospacing="0" w:before="240" w:lineRule="auto"/>
        <w:ind w:left="72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Step 1: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 Click our referral link to open a new account (or submit an IB transfer request for your existing account).</w:t>
      </w:r>
    </w:p>
    <w:p w:rsidR="00000000" w:rsidDel="00000000" w:rsidP="00000000" w:rsidRDefault="00000000" w:rsidRPr="00000000" w14:paraId="00000042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Step 2: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 Add your Trading Account ID into your Personal Dashboard on our website for verification.</w:t>
      </w:r>
    </w:p>
    <w:p w:rsidR="00000000" w:rsidDel="00000000" w:rsidP="00000000" w:rsidRDefault="00000000" w:rsidRPr="00000000" w14:paraId="00000043">
      <w:pPr>
        <w:numPr>
          <w:ilvl w:val="0"/>
          <w:numId w:val="3"/>
        </w:numPr>
        <w:spacing w:after="240" w:before="0" w:beforeAutospacing="0" w:lineRule="auto"/>
        <w:ind w:left="72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Step 3: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 Trade as usual and watch your automated cashbacks roll into your account daily/weekly.</w:t>
      </w:r>
    </w:p>
    <w:p w:rsidR="00000000" w:rsidDel="00000000" w:rsidP="00000000" w:rsidRDefault="00000000" w:rsidRPr="00000000" w14:paraId="00000044">
      <w:pPr>
        <w:spacing w:after="240" w:before="240" w:lineRule="auto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240" w:before="240" w:lineRule="auto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</w:rPr>
        <w:drawing>
          <wp:inline distB="114300" distT="114300" distL="114300" distR="114300">
            <wp:extent cx="5943600" cy="29210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40" w:before="240" w:lineRule="auto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3"/>
        <w:keepNext w:val="0"/>
        <w:keepLines w:val="0"/>
        <w:spacing w:before="280" w:lineRule="auto"/>
        <w:rPr>
          <w:rFonts w:ascii="Roboto" w:cs="Roboto" w:eastAsia="Roboto" w:hAnsi="Roboto"/>
          <w:b w:val="1"/>
          <w:bCs w:val="1"/>
          <w:color w:val="000000"/>
          <w:sz w:val="26"/>
          <w:szCs w:val="26"/>
        </w:rPr>
      </w:pPr>
      <w:bookmarkStart w:colFirst="0" w:colLast="0" w:name="_t9ccfixdb8wo" w:id="5"/>
      <w:bookmarkEnd w:id="5"/>
      <w:r w:rsidDel="00000000" w:rsidR="00000000" w:rsidRPr="00000000">
        <w:rPr>
          <w:rFonts w:ascii="Roboto" w:cs="Roboto" w:eastAsia="Roboto" w:hAnsi="Roboto"/>
          <w:b w:val="1"/>
          <w:bCs w:val="1"/>
          <w:color w:val="000000"/>
          <w:sz w:val="26"/>
          <w:szCs w:val="26"/>
          <w:rtl w:val="0"/>
        </w:rPr>
        <w:t xml:space="preserve">7. FAQ &amp; SUPPORT – Overcoming Objections</w:t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Q1: Does using a cashback service increase my Spreads or Commissions?</w:t>
      </w:r>
    </w:p>
    <w:p w:rsidR="00000000" w:rsidDel="00000000" w:rsidP="00000000" w:rsidRDefault="00000000" w:rsidRPr="00000000" w14:paraId="00000049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sz w:val="26"/>
          <w:szCs w:val="26"/>
          <w:rtl w:val="0"/>
        </w:rPr>
        <w:t xml:space="preserve">Answer: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Absolutely not.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 Your trading conditions remain 100% identical to opening directly with the broker. We simply share a piece of the commission the broker pays us back with you.</w:t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Q2: Can I link my existing broker account?</w:t>
      </w:r>
    </w:p>
    <w:p w:rsidR="00000000" w:rsidDel="00000000" w:rsidP="00000000" w:rsidRDefault="00000000" w:rsidRPr="00000000" w14:paraId="0000004B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sz w:val="26"/>
          <w:szCs w:val="26"/>
          <w:rtl w:val="0"/>
        </w:rPr>
        <w:t xml:space="preserve">Answer: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 Yes, depending on the broker's policy (Specify which brokers allow IB transfer and which require a new account).</w:t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Sticky Support Widget: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 Place a sticky Floating Action Button (FAB) for Live Chat, Telegram, or Zalo in the bottom corner labeled: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"Need help linking your account? Let us do it for you!"</w:t>
      </w:r>
    </w:p>
    <w:p w:rsidR="00000000" w:rsidDel="00000000" w:rsidP="00000000" w:rsidRDefault="00000000" w:rsidRPr="00000000" w14:paraId="0000004D">
      <w:pPr>
        <w:spacing w:after="240" w:before="240" w:lineRule="auto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240" w:before="240" w:lineRule="auto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240" w:before="240" w:lineRule="auto"/>
        <w:rPr>
          <w:rFonts w:ascii="Roboto" w:cs="Roboto" w:eastAsia="Roboto" w:hAnsi="Roboto"/>
          <w:color w:val="47556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on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5.png"/><Relationship Id="rId13" Type="http://schemas.openxmlformats.org/officeDocument/2006/relationships/image" Target="media/image2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1.png"/><Relationship Id="rId14" Type="http://schemas.openxmlformats.org/officeDocument/2006/relationships/image" Target="media/image3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hyperlink" Target="https://www.paybackfx.com/brokers/ic-markets/6" TargetMode="External"/><Relationship Id="rId7" Type="http://schemas.openxmlformats.org/officeDocument/2006/relationships/hyperlink" Target="https://premium-rebate.com/rebates/tickmill" TargetMode="External"/><Relationship Id="rId8" Type="http://schemas.openxmlformats.org/officeDocument/2006/relationships/hyperlink" Target="https://www.forexcashbackcloud.com/brokers/exnes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RobotoMono-regular.ttf"/><Relationship Id="rId6" Type="http://schemas.openxmlformats.org/officeDocument/2006/relationships/font" Target="fonts/RobotoMono-bold.ttf"/><Relationship Id="rId7" Type="http://schemas.openxmlformats.org/officeDocument/2006/relationships/font" Target="fonts/RobotoMono-italic.ttf"/><Relationship Id="rId8" Type="http://schemas.openxmlformats.org/officeDocument/2006/relationships/font" Target="fonts/RobotoMon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