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974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6500"/>
        <w:gridCol w:w="3246"/>
      </w:tblGrid>
      <w:tr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1B2A4A" w:val="clear"/>
            <w:tcMar>
              <w:top w:type="dxa" w:w="240"/>
              <w:left w:type="dxa" w:w="300"/>
              <w:bottom w:type="dxa" w:w="240"/>
              <w:right w:type="dxa" w:w="20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pacing w:val="40"/>
                <w:sz w:val="22"/>
                <w:szCs w:val="22"/>
              </w:rPr>
              <w:t xml:space="preserve">ANTARES SOLUTIONS</w:t>
            </w:r>
          </w:p>
          <w:p>
            <w:pPr>
              <w:spacing w:before="40"/>
            </w:pPr>
            <w:r>
              <w:rPr>
                <w:rFonts w:ascii="Arial" w:cs="Arial" w:eastAsia="Arial" w:hAnsi="Arial"/>
                <w:i/>
                <w:iCs/>
                <w:color w:val="AACCEE"/>
                <w:sz w:val="16"/>
                <w:szCs w:val="16"/>
              </w:rPr>
              <w:t xml:space="preserve">Microsoft Data &amp; Analytics Partner</w:t>
            </w:r>
          </w:p>
        </w:tc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0078D4" w:val="clear"/>
            <w:tcMar>
              <w:top w:type="dxa" w:w="240"/>
              <w:left w:type="dxa" w:w="200"/>
              <w:bottom w:type="dxa" w:w="240"/>
              <w:right w:type="dxa" w:w="30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color w:val="FFFFFF"/>
                <w:spacing w:val="20"/>
                <w:sz w:val="16"/>
                <w:szCs w:val="16"/>
              </w:rPr>
              <w:t xml:space="preserve">FOR INDEPENDENT SCHOOLS</w:t>
            </w:r>
          </w:p>
          <w:p>
            <w:pPr>
              <w:spacing w:before="40"/>
              <w:jc w:val="right"/>
            </w:pPr>
            <w:r>
              <w:rPr>
                <w:rFonts w:ascii="Arial" w:cs="Arial" w:eastAsia="Arial" w:hAnsi="Arial"/>
                <w:i/>
                <w:iCs/>
                <w:color w:val="FFFFFF"/>
                <w:sz w:val="20"/>
                <w:szCs w:val="20"/>
              </w:rPr>
              <w:t xml:space="preserve">Synergetic Users</w:t>
            </w:r>
          </w:p>
        </w:tc>
      </w:tr>
    </w:tbl>
    <w:p>
      <w:pPr>
        <w:spacing w:before="240" w:after="0"/>
      </w:pPr>
      <w:r>
        <w:t xml:space="preserve"/>
      </w:r>
    </w:p>
    <w:p>
      <w:pPr>
        <w:spacing w:before="0" w:after="80"/>
        <w:jc w:val="center"/>
      </w:pPr>
      <w:r>
        <w:rPr>
          <w:rFonts w:ascii="Arial" w:cs="Arial" w:eastAsia="Arial" w:hAnsi="Arial"/>
          <w:b/>
          <w:bCs/>
          <w:color w:val="1B2A4A"/>
          <w:sz w:val="44"/>
          <w:szCs w:val="44"/>
        </w:rPr>
        <w:t xml:space="preserve">Modernise Your Synergetic Reporting</w:t>
      </w:r>
    </w:p>
    <w:p>
      <w:pPr>
        <w:pBdr>
          <w:bottom w:val="single" w:color="0078D4" w:sz="8" w:space="2"/>
        </w:pBdr>
        <w:spacing w:before="0" w:after="200"/>
        <w:jc w:val="center"/>
      </w:pPr>
      <w:r>
        <w:rPr>
          <w:rFonts w:ascii="Arial" w:cs="Arial" w:eastAsia="Arial" w:hAnsi="Arial"/>
          <w:i/>
          <w:iCs/>
          <w:color w:val="0078D4"/>
          <w:sz w:val="26"/>
          <w:szCs w:val="26"/>
        </w:rPr>
        <w:t xml:space="preserve">A Smarter, Simpler View of Every Student — Starting Today</w:t>
      </w:r>
    </w:p>
    <w:p>
      <w:pPr>
        <w:spacing w:before="160" w:after="0"/>
      </w:pPr>
      <w:r>
        <w:t xml:space="preserve"/>
      </w:r>
    </w:p>
    <w:p>
      <w:pPr>
        <w:spacing w:before="0" w:after="0"/>
        <w:jc w:val="center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Synergetic has served Australian independent schools well. But when it comes to reporting, your team deserves better than Crystal Reports, manual Excel exports, and data living in silos. </w:t>
      </w:r>
      <w:r>
        <w:rPr>
          <w:rFonts w:ascii="Arial" w:cs="Arial" w:eastAsia="Arial" w:hAnsi="Arial"/>
          <w:b/>
          <w:bCs/>
          <w:color w:val="1B2A4A"/>
          <w:sz w:val="22"/>
          <w:szCs w:val="22"/>
        </w:rPr>
        <w:t xml:space="preserve">The good news? You don't need to replace your SIS to get a better experience.</w:t>
      </w:r>
    </w:p>
    <w:p>
      <w:pPr>
        <w:spacing w:before="200" w:after="0"/>
      </w:pPr>
      <w:r>
        <w:t xml:space="preserve"/>
      </w:r>
    </w:p>
    <w:tbl>
      <w:tblPr>
        <w:tblW w:type="dxa" w:w="974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746"/>
      </w:tblGrid>
      <w:tr>
        <w:tc>
          <w:tcPr>
            <w:tcBorders>
              <w:top w:val="single" w:color="0078D4" w:sz="24"/>
              <w:left w:val="single" w:color="0078D4" w:sz="24"/>
              <w:bottom w:val="single" w:color="0078D4" w:sz="24"/>
              <w:right w:val="none" w:color="FFFFFF" w:sz="0"/>
            </w:tcBorders>
            <w:shd w:fill="EEF4FB" w:val="clear"/>
            <w:tcMar>
              <w:top w:type="dxa" w:w="160"/>
              <w:left w:type="dxa" w:w="300"/>
              <w:bottom w:type="dxa" w:w="160"/>
              <w:right w:type="dxa" w:w="3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i/>
                <w:iCs/>
                <w:color w:val="666666"/>
                <w:sz w:val="22"/>
                <w:szCs w:val="22"/>
              </w:rPr>
              <w:t xml:space="preserve">“Australian teachers already work around </w:t>
            </w:r>
            <w:r>
              <w:rPr>
                <w:rFonts w:ascii="Arial" w:cs="Arial" w:eastAsia="Arial" w:hAnsi="Arial"/>
                <w:b/>
                <w:bCs/>
                <w:i/>
                <w:iCs/>
                <w:color w:val="1B2A4A"/>
                <w:sz w:val="26"/>
                <w:szCs w:val="26"/>
              </w:rPr>
              <w:t xml:space="preserve">50 hours per week</w:t>
            </w:r>
            <w:r>
              <w:rPr>
                <w:rFonts w:ascii="Arial" w:cs="Arial" w:eastAsia="Arial" w:hAnsi="Arial"/>
                <w:i/>
                <w:iCs/>
                <w:color w:val="666666"/>
                <w:sz w:val="22"/>
                <w:szCs w:val="22"/>
              </w:rPr>
              <w:t xml:space="preserve">, with a significant portion consumed by administrative and reporting tasks.”</w:t>
            </w:r>
          </w:p>
          <w:p>
            <w:pPr>
              <w:spacing w:before="60"/>
              <w:jc w:val="center"/>
            </w:pPr>
            <w:r>
              <w:rPr>
                <w:rFonts w:ascii="Arial" w:cs="Arial" w:eastAsia="Arial" w:hAnsi="Arial"/>
                <w:b/>
                <w:bCs/>
                <w:color w:val="0078D4"/>
                <w:sz w:val="18"/>
                <w:szCs w:val="18"/>
              </w:rPr>
              <w:t xml:space="preserve">Australian Teacher Workforce Survey</w:t>
            </w:r>
          </w:p>
          <w:p>
            <w:pPr>
              <w:spacing w:before="80"/>
              <w:jc w:val="center"/>
            </w:pPr>
            <w:r>
              <w:rPr>
                <w:rFonts w:ascii="Arial" w:cs="Arial" w:eastAsia="Arial" w:hAnsi="Arial"/>
                <w:b/>
                <w:bCs/>
                <w:color w:val="333333"/>
                <w:sz w:val="20"/>
                <w:szCs w:val="20"/>
              </w:rPr>
              <w:t xml:space="preserve">That’s time your staff could spend on students — not spreadsheets.</w:t>
            </w:r>
          </w:p>
        </w:tc>
      </w:tr>
    </w:tbl>
    <w:p>
      <w:pPr>
        <w:spacing w:before="220" w:after="0"/>
      </w:pPr>
      <w:r>
        <w:t xml:space="preserve"/>
      </w:r>
    </w:p>
    <w:tbl>
      <w:tblPr>
        <w:tblW w:type="dxa" w:w="974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680"/>
        <w:gridCol w:w="160"/>
        <w:gridCol w:w="4906"/>
      </w:tblGrid>
      <w:tr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0"/>
              <w:left w:type="dxa" w:w="0"/>
              <w:bottom w:type="dxa" w:w="0"/>
              <w:right w:type="dxa" w:w="120"/>
            </w:tcMar>
            <w:vAlign w:val="top"/>
          </w:tcPr>
          <w:p>
            <w:pPr>
              <w:pBdr>
                <w:bottom w:val="single" w:color="0078D4" w:sz="6" w:space="2"/>
              </w:pBdr>
              <w:spacing w:before="0" w:after="120"/>
            </w:pPr>
            <w:r>
              <w:rPr>
                <w:rFonts w:ascii="Arial" w:cs="Arial" w:eastAsia="Arial" w:hAnsi="Arial"/>
                <w:b/>
                <w:bCs/>
                <w:color w:val="1B2A4A"/>
                <w:sz w:val="28"/>
                <w:szCs w:val="28"/>
              </w:rPr>
              <w:t xml:space="preserve">Sound Familiar?</w:t>
            </w:r>
          </w:p>
          <w:p>
            <w:pPr>
              <w:spacing w:before="80" w:after="100"/>
            </w:pPr>
            <w:r>
              <w:rPr>
                <w:rFonts w:ascii="Arial" w:cs="Arial" w:eastAsia="Arial" w:hAnsi="Arial"/>
                <w:i/>
                <w:iCs/>
                <w:color w:val="666666"/>
                <w:sz w:val="20"/>
                <w:szCs w:val="20"/>
              </w:rPr>
              <w:t xml:space="preserve">We hear the same frustrations from school leaders across Australia:</w:t>
            </w:r>
          </w:p>
          <w:p>
            <w:pPr>
              <w:pStyle w:val="ListParagraph"/>
              <w:numPr>
                <w:ilvl w:val="0"/>
                <w:numId w:val="2"/>
              </w:numPr>
              <w:spacing w:before="60" w:after="60"/>
            </w:pPr>
            <w:r>
              <w:rPr>
                <w:rFonts w:ascii="Arial" w:cs="Arial" w:eastAsia="Arial" w:hAnsi="Arial"/>
                <w:b/>
                <w:bCs/>
                <w:color w:val="333333"/>
                <w:sz w:val="20"/>
                <w:szCs w:val="20"/>
              </w:rPr>
              <w:t xml:space="preserve">Reporting lock-in:</w:t>
            </w: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 Crystal Reports are painful to build, maintain, and share — almost no one outside IT can touch them</w:t>
            </w:r>
          </w:p>
          <w:p>
            <w:pPr>
              <w:pStyle w:val="ListParagraph"/>
              <w:numPr>
                <w:ilvl w:val="0"/>
                <w:numId w:val="2"/>
              </w:numPr>
              <w:spacing w:before="60" w:after="60"/>
            </w:pPr>
            <w:r>
              <w:rPr>
                <w:rFonts w:ascii="Arial" w:cs="Arial" w:eastAsia="Arial" w:hAnsi="Arial"/>
                <w:b/>
                <w:bCs/>
                <w:color w:val="333333"/>
                <w:sz w:val="20"/>
                <w:szCs w:val="20"/>
              </w:rPr>
              <w:t xml:space="preserve">Fragmented data:</w:t>
            </w: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 Student, academic, wellbeing and finance data all live in different places</w:t>
            </w:r>
          </w:p>
          <w:p>
            <w:pPr>
              <w:pStyle w:val="ListParagraph"/>
              <w:numPr>
                <w:ilvl w:val="0"/>
                <w:numId w:val="2"/>
              </w:numPr>
              <w:spacing w:before="60" w:after="60"/>
            </w:pPr>
            <w:r>
              <w:rPr>
                <w:rFonts w:ascii="Arial" w:cs="Arial" w:eastAsia="Arial" w:hAnsi="Arial"/>
                <w:b/>
                <w:bCs/>
                <w:color w:val="333333"/>
                <w:sz w:val="20"/>
                <w:szCs w:val="20"/>
              </w:rPr>
              <w:t xml:space="preserve">Manual workarounds:</w:t>
            </w: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 Meaningful insights require manual exports into Excel, adding hours no one has</w:t>
            </w:r>
          </w:p>
          <w:p>
            <w:pPr>
              <w:pStyle w:val="ListParagraph"/>
              <w:numPr>
                <w:ilvl w:val="0"/>
                <w:numId w:val="2"/>
              </w:numPr>
              <w:spacing w:before="60" w:after="60"/>
            </w:pPr>
            <w:r>
              <w:rPr>
                <w:rFonts w:ascii="Arial" w:cs="Arial" w:eastAsia="Arial" w:hAnsi="Arial"/>
                <w:b/>
                <w:bCs/>
                <w:color w:val="333333"/>
                <w:sz w:val="20"/>
                <w:szCs w:val="20"/>
              </w:rPr>
              <w:t xml:space="preserve">IT dependency:</w:t>
            </w: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 Business and teaching staff depend on IT for even simple reporting requests</w:t>
            </w:r>
          </w:p>
          <w:p>
            <w:pPr>
              <w:pStyle w:val="ListParagraph"/>
              <w:numPr>
                <w:ilvl w:val="0"/>
                <w:numId w:val="2"/>
              </w:numPr>
              <w:spacing w:before="60" w:after="60"/>
            </w:pPr>
            <w:r>
              <w:rPr>
                <w:rFonts w:ascii="Arial" w:cs="Arial" w:eastAsia="Arial" w:hAnsi="Arial"/>
                <w:b/>
                <w:bCs/>
                <w:color w:val="333333"/>
                <w:sz w:val="20"/>
                <w:szCs w:val="20"/>
              </w:rPr>
              <w:t xml:space="preserve">No student lifecycle view:</w:t>
            </w: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 No single, clear view of a student’s full journey from enrolment to graduation</w:t>
            </w:r>
          </w:p>
        </w:tc>
        <w:tc>
          <w:tcPr>
            <w:tcBorders>
              <w:top w:val="none" w:color="FFFFFF" w:sz="0"/>
              <w:left w:val="single" w:color="CCDDEE" w:sz="4"/>
              <w:bottom w:val="none" w:color="FFFFFF" w:sz="0"/>
              <w:right w:val="none" w:color="FFFFFF" w:sz="0"/>
            </w:tcBorders>
          </w:tcPr>
          <w:p>
            <w:r>
              <w:t xml:space="preserve"/>
            </w:r>
          </w:p>
        </w:tc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0"/>
              <w:left w:type="dxa" w:w="120"/>
              <w:bottom w:type="dxa" w:w="0"/>
              <w:right w:type="dxa" w:w="0"/>
            </w:tcMar>
            <w:vAlign w:val="top"/>
          </w:tcPr>
          <w:p>
            <w:pPr>
              <w:pBdr>
                <w:bottom w:val="single" w:color="0078D4" w:sz="6" w:space="2"/>
              </w:pBdr>
              <w:spacing w:before="0" w:after="120"/>
            </w:pPr>
            <w:r>
              <w:rPr>
                <w:rFonts w:ascii="Arial" w:cs="Arial" w:eastAsia="Arial" w:hAnsi="Arial"/>
                <w:b/>
                <w:bCs/>
                <w:color w:val="1B2A4A"/>
                <w:sz w:val="28"/>
                <w:szCs w:val="28"/>
              </w:rPr>
              <w:t xml:space="preserve">Our Solution</w:t>
            </w:r>
          </w:p>
          <w:p>
            <w:pPr>
              <w:spacing w:before="80" w:after="100"/>
            </w:pPr>
            <w:r>
              <w:rPr>
                <w:rFonts w:ascii="Arial" w:cs="Arial" w:eastAsia="Arial" w:hAnsi="Arial"/>
                <w:i/>
                <w:iCs/>
                <w:color w:val="666666"/>
                <w:sz w:val="20"/>
                <w:szCs w:val="20"/>
              </w:rPr>
              <w:t xml:space="preserve">We consolidate Synergetic data into a single modern analytics environment — powered by Microsoft Fabric:</w:t>
            </w:r>
          </w:p>
          <w:p>
            <w:pPr>
              <w:pStyle w:val="ListParagraph"/>
              <w:numPr>
                <w:ilvl w:val="0"/>
                <w:numId w:val="3"/>
              </w:numPr>
              <w:spacing w:before="60" w:after="60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 A Single View of the Student — academic, attendance, wellbeing, enrolments and operations in one connected dashboard</w:t>
            </w:r>
          </w:p>
          <w:p>
            <w:pPr>
              <w:pStyle w:val="ListParagraph"/>
              <w:numPr>
                <w:ilvl w:val="0"/>
                <w:numId w:val="3"/>
              </w:numPr>
              <w:spacing w:before="60" w:after="60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 Intuitive Self-Service Reporting — empowering Business Managers, Heads of Teaching &amp; Learning, and leadership with direct access to trusted data</w:t>
            </w:r>
          </w:p>
          <w:p>
            <w:pPr>
              <w:pStyle w:val="ListParagraph"/>
              <w:numPr>
                <w:ilvl w:val="0"/>
                <w:numId w:val="3"/>
              </w:numPr>
              <w:spacing w:before="60" w:after="60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 Automated Data Ingestion — eliminate repetitive exports and manual reconciliation</w:t>
            </w:r>
          </w:p>
          <w:p>
            <w:pPr>
              <w:pStyle w:val="ListParagraph"/>
              <w:numPr>
                <w:ilvl w:val="0"/>
                <w:numId w:val="3"/>
              </w:numPr>
              <w:spacing w:before="60" w:after="60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 Built in Your Microsoft Ecosystem — leverage existing Microsoft investments and potential funding programs</w:t>
            </w:r>
          </w:p>
        </w:tc>
      </w:tr>
    </w:tbl>
    <w:p>
      <w:pPr>
        <w:spacing w:before="220" w:after="0"/>
      </w:pPr>
      <w:r>
        <w:t xml:space="preserve"/>
      </w:r>
    </w:p>
    <w:tbl>
      <w:tblPr>
        <w:tblW w:type="dxa" w:w="974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746"/>
      </w:tblGrid>
      <w:tr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1B2A4A" w:val="clear"/>
            <w:tcMar>
              <w:top w:type="dxa" w:w="200"/>
              <w:left w:type="dxa" w:w="360"/>
              <w:bottom w:type="dxa" w:w="200"/>
              <w:right w:type="dxa" w:w="360"/>
            </w:tcMar>
          </w:tcPr>
          <w:p>
            <w:pPr>
              <w:spacing w:before="0" w:after="80"/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8"/>
                <w:szCs w:val="28"/>
              </w:rPr>
              <w:t xml:space="preserve">Your Data. Your Control. Future-Proof — Whatever Comes Next.</w:t>
            </w:r>
          </w:p>
          <w:p>
            <w:pPr>
              <w:jc w:val="center"/>
            </w:pPr>
            <w:r>
              <w:rPr>
                <w:rFonts w:ascii="Arial" w:cs="Arial" w:eastAsia="Arial" w:hAnsi="Arial"/>
                <w:color w:val="AACCEE"/>
                <w:sz w:val="20"/>
                <w:szCs w:val="20"/>
              </w:rPr>
              <w:t xml:space="preserve">The independent school sector is evolving. New SIS platforms are emerging and many schools are beginning to question their long-term vendor relationships. With your data consolidated in a platform </w:t>
            </w: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you own</w:t>
            </w:r>
            <w:r>
              <w:rPr>
                <w:rFonts w:ascii="Arial" w:cs="Arial" w:eastAsia="Arial" w:hAnsi="Arial"/>
                <w:color w:val="AACCEE"/>
                <w:sz w:val="20"/>
                <w:szCs w:val="20"/>
              </w:rPr>
              <w:t xml:space="preserve">, you’re never starting from scratch — regardless of which system you use in the future.</w:t>
            </w:r>
          </w:p>
        </w:tc>
      </w:tr>
    </w:tbl>
    <w:p>
      <w:pPr>
        <w:spacing w:before="220" w:after="0"/>
      </w:pPr>
      <w:r>
        <w:t xml:space="preserve"/>
      </w:r>
    </w:p>
    <w:p>
      <w:pPr>
        <w:spacing w:before="0" w:after="100"/>
        <w:jc w:val="center"/>
      </w:pPr>
      <w:r>
        <w:rPr>
          <w:rFonts w:ascii="Arial" w:cs="Arial" w:eastAsia="Arial" w:hAnsi="Arial"/>
          <w:b/>
          <w:bCs/>
          <w:color w:val="1B2A4A"/>
          <w:sz w:val="32"/>
          <w:szCs w:val="32"/>
        </w:rPr>
        <w:t xml:space="preserve">Let’s Start the Conversation</w:t>
      </w:r>
    </w:p>
    <w:p>
      <w:pPr>
        <w:spacing w:before="0" w:after="160"/>
        <w:jc w:val="center"/>
      </w:pPr>
      <w:r>
        <w:rPr>
          <w:rFonts w:ascii="Arial" w:cs="Arial" w:eastAsia="Arial" w:hAnsi="Arial"/>
          <w:color w:val="666666"/>
          <w:sz w:val="22"/>
          <w:szCs w:val="22"/>
        </w:rPr>
        <w:t xml:space="preserve">We’ve built a simple engagement model to help schools quickly assess their reporting gaps and identify wins that can be delivered in weeks, not months.</w:t>
      </w:r>
    </w:p>
    <w:tbl>
      <w:tblPr>
        <w:tblW w:type="dxa" w:w="974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680"/>
        <w:gridCol w:w="5066"/>
      </w:tblGrid>
      <w:tr>
        <w:tc>
          <w:tcPr>
            <w:tcBorders>
              <w:top w:val="single" w:color="CCDDEE" w:sz="4"/>
              <w:left w:val="single" w:color="CCDDEE" w:sz="4"/>
              <w:bottom w:val="single" w:color="CCDDEE" w:sz="4"/>
              <w:right w:val="single" w:color="CCDDEE" w:sz="4"/>
            </w:tcBorders>
            <w:shd w:fill="EEF4FB" w:val="clear"/>
            <w:tcMar>
              <w:top w:type="dxa" w:w="160"/>
              <w:left w:type="dxa" w:w="240"/>
              <w:bottom w:type="dxa" w:w="160"/>
              <w:right w:type="dxa" w:w="24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1B2A4A"/>
                <w:sz w:val="22"/>
                <w:szCs w:val="22"/>
              </w:rPr>
              <w:t xml:space="preserve">📅  Book a 30-Minute Discovery Call</w:t>
            </w:r>
          </w:p>
          <w:p>
            <w:pPr>
              <w:spacing w:before="60"/>
              <w:jc w:val="center"/>
            </w:pPr>
            <w:r>
              <w:rPr>
                <w:rFonts w:ascii="Arial" w:cs="Arial" w:eastAsia="Arial" w:hAnsi="Arial"/>
                <w:i/>
                <w:iCs/>
                <w:color w:val="666666"/>
                <w:sz w:val="19"/>
                <w:szCs w:val="19"/>
              </w:rPr>
              <w:t xml:space="preserve">A no-obligation conversation to explore your current reporting challenges and quick wins.</w:t>
            </w:r>
          </w:p>
        </w:tc>
        <w:tc>
          <w:tcPr>
            <w:tcBorders>
              <w:top w:val="single" w:color="CCDDEE" w:sz="4"/>
              <w:left w:val="single" w:color="0078D4" w:sz="4"/>
              <w:bottom w:val="single" w:color="CCDDEE" w:sz="4"/>
              <w:right w:val="single" w:color="CCDDEE" w:sz="4"/>
            </w:tcBorders>
            <w:shd w:fill="EEF4FB" w:val="clear"/>
            <w:tcMar>
              <w:top w:type="dxa" w:w="160"/>
              <w:left w:type="dxa" w:w="240"/>
              <w:bottom w:type="dxa" w:w="160"/>
              <w:right w:type="dxa" w:w="24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1B2A4A"/>
                <w:sz w:val="22"/>
                <w:szCs w:val="22"/>
              </w:rPr>
              <w:t xml:space="preserve">📄  Request Our Reporting Modernisation Brief</w:t>
            </w:r>
          </w:p>
          <w:p>
            <w:pPr>
              <w:spacing w:before="60"/>
              <w:jc w:val="center"/>
            </w:pPr>
            <w:r>
              <w:rPr>
                <w:rFonts w:ascii="Arial" w:cs="Arial" w:eastAsia="Arial" w:hAnsi="Arial"/>
                <w:i/>
                <w:iCs/>
                <w:color w:val="666666"/>
                <w:sz w:val="19"/>
                <w:szCs w:val="19"/>
              </w:rPr>
              <w:t xml:space="preserve">Our Synergetic Reporting Modernisation Brief outlines the approach, timeline, and expected outcomes.</w:t>
            </w:r>
          </w:p>
        </w:tc>
      </w:tr>
    </w:tbl>
    <w:p>
      <w:pPr>
        <w:spacing w:before="200" w:after="0"/>
      </w:pPr>
      <w:r>
        <w:t xml:space="preserve"/>
      </w:r>
    </w:p>
    <w:p>
      <w:pPr>
        <w:pBdr>
          <w:top w:val="single" w:color="0078D4" w:sz="6" w:space="2"/>
        </w:pBdr>
        <w:spacing w:before="120" w:after="80"/>
        <w:jc w:val="center"/>
      </w:pPr>
      <w:r>
        <w:rPr>
          <w:rFonts w:ascii="Arial" w:cs="Arial" w:eastAsia="Arial" w:hAnsi="Arial"/>
          <w:color w:val="666666"/>
          <w:sz w:val="18"/>
          <w:szCs w:val="18"/>
        </w:rPr>
        <w:t xml:space="preserve">Antares Solutions  |  Microsoft Data &amp; Analytics Partner  |  antaressolutions.com.au</w:t>
      </w:r>
    </w:p>
    <w:p>
      <w:pPr>
        <w:jc w:val="center"/>
      </w:pPr>
      <w:r>
        <w:rPr>
          <w:rFonts w:ascii="Arial" w:cs="Arial" w:eastAsia="Arial" w:hAnsi="Arial"/>
          <w:b/>
          <w:bCs/>
          <w:color w:val="0078D4"/>
          <w:sz w:val="18"/>
          <w:szCs w:val="18"/>
        </w:rPr>
        <w:t xml:space="preserve">Contact us today to see how your school can gain a clearer, smarter view of every student.</w:t>
      </w:r>
    </w:p>
    <w:sectPr>
      <w:pgSz w:w="11906" w:h="16838" w:orient="portrait"/>
      <w:pgMar w:top="1000" w:right="1080" w:bottom="1000" w:left="108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480" w:hanging="240"/>
      </w:pPr>
    </w:lvl>
  </w:abstractNum>
  <w:abstractNum w:abstractNumId="3" w15:restartNumberingAfterBreak="0">
    <w:multiLevelType w:val="hybridMultilevel"/>
    <w:lvl w:ilvl="0" w15:tentative="1">
      <w:start w:val="1"/>
      <w:numFmt w:val="bullet"/>
      <w:lvlText w:val="✔"/>
      <w:lvlJc w:val="left"/>
      <w:pPr>
        <w:ind w:left="480" w:hanging="24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  <w:num w:numId="3">
    <w:abstractNumId w:val="3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color w:val="333333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2026-02-24T00:18:57.867Z</dcterms:created>
  <dcterms:modified xsi:type="dcterms:W3CDTF">2026-02-24T00:18:57.868Z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