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A75FD" w14:textId="27F4D22D" w:rsidR="00975FCC" w:rsidRDefault="00975FCC">
      <w:r>
        <w:rPr>
          <w:noProof/>
        </w:rPr>
        <w:drawing>
          <wp:anchor distT="0" distB="0" distL="114300" distR="114300" simplePos="0" relativeHeight="251659264" behindDoc="1" locked="0" layoutInCell="1" allowOverlap="0" wp14:anchorId="10F82A5E" wp14:editId="2F32F0F8">
            <wp:simplePos x="0" y="0"/>
            <wp:positionH relativeFrom="margin">
              <wp:align>center</wp:align>
            </wp:positionH>
            <wp:positionV relativeFrom="page">
              <wp:posOffset>352425</wp:posOffset>
            </wp:positionV>
            <wp:extent cx="5301615" cy="1257300"/>
            <wp:effectExtent l="0" t="0" r="0" b="0"/>
            <wp:wrapTight wrapText="bothSides">
              <wp:wrapPolygon edited="0">
                <wp:start x="0" y="0"/>
                <wp:lineTo x="0" y="21273"/>
                <wp:lineTo x="21499" y="21273"/>
                <wp:lineTo x="21499" y="0"/>
                <wp:lineTo x="0" y="0"/>
              </wp:wrapPolygon>
            </wp:wrapTight>
            <wp:docPr id="7" name="Picture 7" descr="A blue and black logo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blue and black logo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161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6472C28" w14:textId="77777777" w:rsidR="00975FCC" w:rsidRDefault="00975FCC" w:rsidP="00975FCC">
      <w:pPr>
        <w:pStyle w:val="Heading1"/>
      </w:pPr>
      <w:r>
        <w:t>Stop Iron Before It Stains</w:t>
      </w:r>
    </w:p>
    <w:p w14:paraId="5375D5B8" w14:textId="77777777" w:rsidR="00975FCC" w:rsidRDefault="00975FCC" w:rsidP="00975FCC">
      <w:pPr>
        <w:spacing w:after="343" w:line="278" w:lineRule="auto"/>
      </w:pPr>
      <w:r>
        <w:rPr>
          <w:rFonts w:ascii="Arial" w:eastAsia="Arial" w:hAnsi="Arial" w:cs="Arial"/>
          <w:b/>
          <w:color w:val="4B4B4B"/>
          <w:sz w:val="21"/>
        </w:rPr>
        <w:t>Metal Monster</w:t>
      </w:r>
      <w:r>
        <w:rPr>
          <w:rFonts w:ascii="Arial" w:eastAsia="Arial" w:hAnsi="Arial" w:cs="Arial"/>
          <w:color w:val="4B4B4B"/>
          <w:sz w:val="21"/>
        </w:rPr>
        <w:t xml:space="preserve"> targets both forms of iron that cause pool and spa headaches—</w:t>
      </w:r>
      <w:r>
        <w:rPr>
          <w:rFonts w:ascii="Arial" w:eastAsia="Arial" w:hAnsi="Arial" w:cs="Arial"/>
          <w:b/>
          <w:color w:val="4B4B4B"/>
          <w:sz w:val="21"/>
        </w:rPr>
        <w:t>dissolved (ferrous / “clear-water” iron)</w:t>
      </w:r>
      <w:r>
        <w:rPr>
          <w:rFonts w:ascii="Arial" w:eastAsia="Arial" w:hAnsi="Arial" w:cs="Arial"/>
          <w:color w:val="4B4B4B"/>
          <w:sz w:val="21"/>
        </w:rPr>
        <w:t xml:space="preserve"> and </w:t>
      </w:r>
      <w:r>
        <w:rPr>
          <w:rFonts w:ascii="Arial" w:eastAsia="Arial" w:hAnsi="Arial" w:cs="Arial"/>
          <w:b/>
          <w:color w:val="4B4B4B"/>
          <w:sz w:val="21"/>
        </w:rPr>
        <w:t>particulate (ferric / “rust” iron)</w:t>
      </w:r>
      <w:r>
        <w:rPr>
          <w:rFonts w:ascii="Arial" w:eastAsia="Arial" w:hAnsi="Arial" w:cs="Arial"/>
          <w:color w:val="4B4B4B"/>
          <w:sz w:val="21"/>
        </w:rPr>
        <w:t>.</w:t>
      </w:r>
    </w:p>
    <w:p w14:paraId="6A94CFDA" w14:textId="0784003B" w:rsidR="00975FCC" w:rsidRDefault="00975FCC" w:rsidP="00975FCC">
      <w:pPr>
        <w:pBdr>
          <w:top w:val="single" w:sz="8" w:space="0" w:color="106BB2"/>
          <w:left w:val="single" w:sz="8" w:space="0" w:color="106BB2"/>
          <w:bottom w:val="single" w:sz="8" w:space="0" w:color="106BB2"/>
          <w:right w:val="single" w:sz="8" w:space="0" w:color="106BB2"/>
        </w:pBdr>
        <w:shd w:val="clear" w:color="auto" w:fill="F2F4F7"/>
        <w:spacing w:after="679" w:line="266" w:lineRule="auto"/>
        <w:ind w:left="80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0CA0755" wp14:editId="5E281A00">
            <wp:simplePos x="0" y="0"/>
            <wp:positionH relativeFrom="column">
              <wp:posOffset>-409575</wp:posOffset>
            </wp:positionH>
            <wp:positionV relativeFrom="page">
              <wp:posOffset>3295650</wp:posOffset>
            </wp:positionV>
            <wp:extent cx="2971800" cy="2824480"/>
            <wp:effectExtent l="0" t="0" r="0" b="0"/>
            <wp:wrapTight wrapText="bothSides">
              <wp:wrapPolygon edited="0">
                <wp:start x="0" y="0"/>
                <wp:lineTo x="0" y="21415"/>
                <wp:lineTo x="21462" y="21415"/>
                <wp:lineTo x="21462" y="0"/>
                <wp:lineTo x="0" y="0"/>
              </wp:wrapPolygon>
            </wp:wrapTight>
            <wp:docPr id="68779652" name="Picture 3" descr="A pool with a red cro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79652" name="Picture 3" descr="A pool with a red cros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82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772D736D" wp14:editId="73D56F9F">
            <wp:simplePos x="0" y="0"/>
            <wp:positionH relativeFrom="column">
              <wp:posOffset>2981325</wp:posOffset>
            </wp:positionH>
            <wp:positionV relativeFrom="page">
              <wp:posOffset>3324225</wp:posOffset>
            </wp:positionV>
            <wp:extent cx="3286125" cy="2847975"/>
            <wp:effectExtent l="0" t="0" r="9525" b="9525"/>
            <wp:wrapTight wrapText="bothSides">
              <wp:wrapPolygon edited="0">
                <wp:start x="0" y="0"/>
                <wp:lineTo x="0" y="21528"/>
                <wp:lineTo x="21537" y="21528"/>
                <wp:lineTo x="21537" y="0"/>
                <wp:lineTo x="0" y="0"/>
              </wp:wrapPolygon>
            </wp:wrapTight>
            <wp:docPr id="1507641021" name="Picture 4" descr="A black object on the 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7641021" name="Picture 4" descr="A black object on the 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Arial" w:hAnsi="Arial" w:cs="Arial"/>
          <w:b/>
          <w:color w:val="106BB2"/>
        </w:rPr>
        <w:t>Iron-related discoloration can begin at ~0.1 ppm after shocking or a high chlorine dose—and becomes increasingly likely as levels rise.</w:t>
      </w:r>
    </w:p>
    <w:p w14:paraId="6759C0A2" w14:textId="7C79425B" w:rsidR="00511BE5" w:rsidRDefault="00511BE5"/>
    <w:p w14:paraId="57619FD2" w14:textId="77777777" w:rsidR="00975FCC" w:rsidRDefault="00975FCC" w:rsidP="00975FCC"/>
    <w:p w14:paraId="05669CBC" w14:textId="77777777" w:rsidR="00975FCC" w:rsidRPr="00975FCC" w:rsidRDefault="00975FCC" w:rsidP="00975FCC">
      <w:pPr>
        <w:keepNext/>
        <w:keepLines/>
        <w:spacing w:after="62"/>
        <w:ind w:left="-5" w:hanging="10"/>
        <w:outlineLvl w:val="1"/>
        <w:rPr>
          <w:rFonts w:ascii="Arial" w:eastAsia="Arial" w:hAnsi="Arial" w:cs="Arial"/>
          <w:b/>
          <w:color w:val="106BB2"/>
          <w:sz w:val="28"/>
        </w:rPr>
      </w:pPr>
      <w:r w:rsidRPr="00975FCC">
        <w:rPr>
          <w:rFonts w:ascii="Arial" w:eastAsia="Arial" w:hAnsi="Arial" w:cs="Arial"/>
          <w:b/>
          <w:color w:val="106BB2"/>
          <w:sz w:val="28"/>
        </w:rPr>
        <w:t>Installation &amp; Use</w:t>
      </w:r>
    </w:p>
    <w:p w14:paraId="4C979404" w14:textId="77777777" w:rsidR="00975FCC" w:rsidRPr="00975FCC" w:rsidRDefault="00975FCC" w:rsidP="00975FCC">
      <w:pPr>
        <w:spacing w:after="12" w:line="269" w:lineRule="auto"/>
        <w:ind w:left="-5" w:hanging="10"/>
      </w:pPr>
      <w:r w:rsidRPr="00975FCC">
        <w:rPr>
          <w:rFonts w:ascii="Arial" w:eastAsia="Arial" w:hAnsi="Arial" w:cs="Arial"/>
          <w:b/>
          <w:color w:val="4B4B4B"/>
          <w:sz w:val="21"/>
        </w:rPr>
        <w:t>Simple in-line use:</w:t>
      </w:r>
      <w:r w:rsidRPr="00975FCC">
        <w:rPr>
          <w:rFonts w:ascii="Arial" w:eastAsia="Arial" w:hAnsi="Arial" w:cs="Arial"/>
          <w:color w:val="4B4B4B"/>
          <w:sz w:val="21"/>
        </w:rPr>
        <w:t xml:space="preserve"> Connect Metal Monster in-line with any standard garden hose when filling or topping off your pool or spa.</w:t>
      </w:r>
    </w:p>
    <w:p w14:paraId="6E162E60" w14:textId="77777777" w:rsidR="00975FCC" w:rsidRPr="00975FCC" w:rsidRDefault="00975FCC" w:rsidP="00975FCC">
      <w:pPr>
        <w:spacing w:after="12" w:line="269" w:lineRule="auto"/>
        <w:ind w:left="-5" w:hanging="10"/>
      </w:pPr>
      <w:r w:rsidRPr="00975FCC">
        <w:rPr>
          <w:rFonts w:ascii="Arial" w:eastAsia="Arial" w:hAnsi="Arial" w:cs="Arial"/>
          <w:b/>
          <w:color w:val="4B4B4B"/>
          <w:sz w:val="21"/>
        </w:rPr>
        <w:t>Mounting options:</w:t>
      </w:r>
      <w:r w:rsidRPr="00975FCC">
        <w:rPr>
          <w:rFonts w:ascii="Arial" w:eastAsia="Arial" w:hAnsi="Arial" w:cs="Arial"/>
          <w:color w:val="4B4B4B"/>
          <w:sz w:val="21"/>
        </w:rPr>
        <w:t xml:space="preserve"> Mount near an outdoor faucet or by the pool equipment pad using the included bracket.</w:t>
      </w:r>
    </w:p>
    <w:p w14:paraId="63FDF94E" w14:textId="77777777" w:rsidR="00975FCC" w:rsidRPr="00975FCC" w:rsidRDefault="00975FCC" w:rsidP="00975FCC">
      <w:pPr>
        <w:spacing w:after="12" w:line="269" w:lineRule="auto"/>
        <w:ind w:left="-5" w:hanging="10"/>
      </w:pPr>
      <w:r w:rsidRPr="00975FCC">
        <w:rPr>
          <w:rFonts w:ascii="Arial" w:eastAsia="Arial" w:hAnsi="Arial" w:cs="Arial"/>
          <w:b/>
          <w:color w:val="4B4B4B"/>
          <w:sz w:val="21"/>
        </w:rPr>
        <w:t>Service life:</w:t>
      </w:r>
      <w:r w:rsidRPr="00975FCC">
        <w:rPr>
          <w:rFonts w:ascii="Arial" w:eastAsia="Arial" w:hAnsi="Arial" w:cs="Arial"/>
          <w:color w:val="4B4B4B"/>
          <w:sz w:val="21"/>
        </w:rPr>
        <w:t xml:space="preserve"> Rated for up to </w:t>
      </w:r>
      <w:r w:rsidRPr="00975FCC">
        <w:rPr>
          <w:rFonts w:ascii="Arial" w:eastAsia="Arial" w:hAnsi="Arial" w:cs="Arial"/>
          <w:b/>
          <w:color w:val="4B4B4B"/>
          <w:sz w:val="21"/>
        </w:rPr>
        <w:t>20,000 gallons</w:t>
      </w:r>
      <w:r w:rsidRPr="00975FCC">
        <w:rPr>
          <w:rFonts w:ascii="Arial" w:eastAsia="Arial" w:hAnsi="Arial" w:cs="Arial"/>
          <w:color w:val="4B4B4B"/>
          <w:sz w:val="21"/>
        </w:rPr>
        <w:t>. One filter typically covers a full season of refills/topping-off; initial fills may use most of the capacity in one use.</w:t>
      </w:r>
    </w:p>
    <w:p w14:paraId="496FBC9D" w14:textId="77777777" w:rsidR="00975FCC" w:rsidRDefault="00975FCC" w:rsidP="00975FCC">
      <w:pPr>
        <w:spacing w:after="12" w:line="269" w:lineRule="auto"/>
        <w:ind w:left="-5" w:hanging="10"/>
        <w:rPr>
          <w:rFonts w:ascii="Arial" w:eastAsia="Arial" w:hAnsi="Arial" w:cs="Arial"/>
          <w:color w:val="4B4B4B"/>
          <w:sz w:val="21"/>
        </w:rPr>
      </w:pPr>
      <w:r w:rsidRPr="00975FCC">
        <w:rPr>
          <w:rFonts w:ascii="Arial" w:eastAsia="Arial" w:hAnsi="Arial" w:cs="Arial"/>
          <w:b/>
          <w:color w:val="4B4B4B"/>
          <w:sz w:val="21"/>
        </w:rPr>
        <w:t>First use flush:</w:t>
      </w:r>
      <w:r w:rsidRPr="00975FCC">
        <w:rPr>
          <w:rFonts w:ascii="Arial" w:eastAsia="Arial" w:hAnsi="Arial" w:cs="Arial"/>
          <w:color w:val="4B4B4B"/>
          <w:sz w:val="21"/>
        </w:rPr>
        <w:t xml:space="preserve"> Run water through the filter for </w:t>
      </w:r>
      <w:r w:rsidRPr="00975FCC">
        <w:rPr>
          <w:rFonts w:ascii="Arial" w:eastAsia="Arial" w:hAnsi="Arial" w:cs="Arial"/>
          <w:b/>
          <w:color w:val="4B4B4B"/>
          <w:sz w:val="21"/>
        </w:rPr>
        <w:t>2 minutes</w:t>
      </w:r>
      <w:r w:rsidRPr="00975FCC">
        <w:rPr>
          <w:rFonts w:ascii="Arial" w:eastAsia="Arial" w:hAnsi="Arial" w:cs="Arial"/>
          <w:color w:val="4B4B4B"/>
          <w:sz w:val="21"/>
        </w:rPr>
        <w:t xml:space="preserve"> before filling to clear any air or shipping residue. </w:t>
      </w:r>
    </w:p>
    <w:p w14:paraId="21521CD9" w14:textId="46DDE38F" w:rsidR="00975FCC" w:rsidRPr="00975FCC" w:rsidRDefault="00975FCC" w:rsidP="00975FCC">
      <w:pPr>
        <w:spacing w:after="12" w:line="269" w:lineRule="auto"/>
        <w:ind w:left="-5" w:hanging="10"/>
      </w:pPr>
      <w:r w:rsidRPr="00975FCC">
        <w:rPr>
          <w:rFonts w:ascii="Arial" w:eastAsia="Arial" w:hAnsi="Arial" w:cs="Arial"/>
          <w:b/>
          <w:color w:val="4B4B4B"/>
          <w:sz w:val="21"/>
        </w:rPr>
        <w:t>End of life:</w:t>
      </w:r>
      <w:r w:rsidRPr="00975FCC">
        <w:rPr>
          <w:rFonts w:ascii="Arial" w:eastAsia="Arial" w:hAnsi="Arial" w:cs="Arial"/>
          <w:color w:val="4B4B4B"/>
          <w:sz w:val="21"/>
        </w:rPr>
        <w:t xml:space="preserve"> When flow noticeably drops or after a season, replace the cartridge. Reuse the bracket next season.</w:t>
      </w:r>
    </w:p>
    <w:p w14:paraId="27CC428A" w14:textId="134E1BD1" w:rsidR="00975FCC" w:rsidRDefault="00975FCC" w:rsidP="00975FCC">
      <w:pPr>
        <w:spacing w:after="12" w:line="269" w:lineRule="auto"/>
        <w:ind w:left="-5" w:hanging="10"/>
        <w:sectPr w:rsidR="00975FCC" w:rsidSect="00975FCC">
          <w:head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975FCC">
        <w:rPr>
          <w:rFonts w:ascii="Arial" w:eastAsia="Arial" w:hAnsi="Arial" w:cs="Arial"/>
          <w:b/>
          <w:color w:val="4B4B4B"/>
          <w:sz w:val="21"/>
        </w:rPr>
        <w:t>Support:</w:t>
      </w:r>
      <w:r w:rsidRPr="00975FCC">
        <w:rPr>
          <w:rFonts w:ascii="Arial" w:eastAsia="Arial" w:hAnsi="Arial" w:cs="Arial"/>
          <w:color w:val="4B4B4B"/>
          <w:sz w:val="21"/>
        </w:rPr>
        <w:t xml:space="preserve"> Customerservice@poolhealth.co</w:t>
      </w:r>
      <w:r w:rsidR="00FC7BA7">
        <w:rPr>
          <w:rFonts w:ascii="Arial" w:eastAsia="Arial" w:hAnsi="Arial" w:cs="Arial"/>
          <w:color w:val="4B4B4B"/>
          <w:sz w:val="21"/>
        </w:rPr>
        <w:t>m</w:t>
      </w:r>
    </w:p>
    <w:tbl>
      <w:tblPr>
        <w:tblStyle w:val="TableGrid"/>
        <w:tblpPr w:leftFromText="180" w:rightFromText="180" w:vertAnchor="text" w:horzAnchor="margin" w:tblpY="631"/>
        <w:tblW w:w="13651" w:type="dxa"/>
        <w:tblLook w:val="04A0" w:firstRow="1" w:lastRow="0" w:firstColumn="1" w:lastColumn="0" w:noHBand="0" w:noVBand="1"/>
      </w:tblPr>
      <w:tblGrid>
        <w:gridCol w:w="1724"/>
        <w:gridCol w:w="1661"/>
        <w:gridCol w:w="1612"/>
        <w:gridCol w:w="1640"/>
        <w:gridCol w:w="1610"/>
        <w:gridCol w:w="1637"/>
        <w:gridCol w:w="1591"/>
        <w:gridCol w:w="2176"/>
      </w:tblGrid>
      <w:tr w:rsidR="00975FCC" w:rsidRPr="00975FCC" w14:paraId="344456C9" w14:textId="77777777" w:rsidTr="00975FCC">
        <w:trPr>
          <w:trHeight w:val="1150"/>
        </w:trPr>
        <w:tc>
          <w:tcPr>
            <w:tcW w:w="1724" w:type="dxa"/>
            <w:shd w:val="clear" w:color="auto" w:fill="2B2B2B"/>
            <w:vAlign w:val="center"/>
          </w:tcPr>
          <w:p w14:paraId="626345CF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FFFFFF"/>
              </w:rPr>
              <w:lastRenderedPageBreak/>
              <w:t>Spec</w:t>
            </w:r>
          </w:p>
        </w:tc>
        <w:tc>
          <w:tcPr>
            <w:tcW w:w="1661" w:type="dxa"/>
            <w:shd w:val="clear" w:color="auto" w:fill="1E88E5"/>
            <w:vAlign w:val="center"/>
          </w:tcPr>
          <w:p w14:paraId="1579F49D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FFFFFF"/>
              </w:rPr>
              <w:t>Pool Health Group Metal Monster</w:t>
            </w:r>
          </w:p>
        </w:tc>
        <w:tc>
          <w:tcPr>
            <w:tcW w:w="1612" w:type="dxa"/>
            <w:shd w:val="clear" w:color="auto" w:fill="2B2B2B"/>
            <w:vAlign w:val="center"/>
          </w:tcPr>
          <w:p w14:paraId="02A9D96B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FFFFFF"/>
              </w:rPr>
              <w:t>X10 Spa filter</w:t>
            </w:r>
          </w:p>
        </w:tc>
        <w:tc>
          <w:tcPr>
            <w:tcW w:w="1640" w:type="dxa"/>
            <w:shd w:val="clear" w:color="auto" w:fill="2B2B2B"/>
            <w:vAlign w:val="center"/>
          </w:tcPr>
          <w:p w14:paraId="4906A20E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FFFFFF"/>
              </w:rPr>
              <w:t>Boogie-Blue Plus</w:t>
            </w:r>
          </w:p>
        </w:tc>
        <w:tc>
          <w:tcPr>
            <w:tcW w:w="1610" w:type="dxa"/>
            <w:shd w:val="clear" w:color="auto" w:fill="2B2B2B"/>
            <w:vAlign w:val="center"/>
          </w:tcPr>
          <w:p w14:paraId="1E83D82B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FFFFFF"/>
              </w:rPr>
              <w:t>Pool Pure</w:t>
            </w:r>
          </w:p>
        </w:tc>
        <w:tc>
          <w:tcPr>
            <w:tcW w:w="1637" w:type="dxa"/>
            <w:shd w:val="clear" w:color="auto" w:fill="2B2B2B"/>
            <w:vAlign w:val="center"/>
          </w:tcPr>
          <w:p w14:paraId="4308B560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FFFFFF"/>
              </w:rPr>
              <w:t>EcoOne</w:t>
            </w:r>
          </w:p>
        </w:tc>
        <w:tc>
          <w:tcPr>
            <w:tcW w:w="1591" w:type="dxa"/>
            <w:shd w:val="clear" w:color="auto" w:fill="2B2B2B"/>
            <w:vAlign w:val="center"/>
          </w:tcPr>
          <w:p w14:paraId="4022EFDA" w14:textId="4C2C380E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FFFFFF"/>
              </w:rPr>
              <w:t>Grow Rite</w:t>
            </w:r>
          </w:p>
        </w:tc>
        <w:tc>
          <w:tcPr>
            <w:tcW w:w="2176" w:type="dxa"/>
            <w:shd w:val="clear" w:color="auto" w:fill="2B2B2B"/>
            <w:vAlign w:val="center"/>
          </w:tcPr>
          <w:p w14:paraId="17585F15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FFFFFF"/>
              </w:rPr>
              <w:t>FreshWater (WatkinsWellness Hydropure Technologies</w:t>
            </w:r>
          </w:p>
        </w:tc>
      </w:tr>
      <w:tr w:rsidR="00975FCC" w:rsidRPr="00975FCC" w14:paraId="26F08E4D" w14:textId="77777777" w:rsidTr="00975FCC">
        <w:trPr>
          <w:trHeight w:val="559"/>
        </w:trPr>
        <w:tc>
          <w:tcPr>
            <w:tcW w:w="1724" w:type="dxa"/>
            <w:shd w:val="clear" w:color="auto" w:fill="F2F4F7"/>
            <w:vAlign w:val="center"/>
          </w:tcPr>
          <w:p w14:paraId="3CC232AA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auto"/>
                <w:sz w:val="20"/>
              </w:rPr>
              <w:t>Total Product Weight</w:t>
            </w:r>
          </w:p>
        </w:tc>
        <w:tc>
          <w:tcPr>
            <w:tcW w:w="1661" w:type="dxa"/>
            <w:shd w:val="clear" w:color="auto" w:fill="F2F4F7"/>
            <w:vAlign w:val="center"/>
          </w:tcPr>
          <w:p w14:paraId="011E6ED7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1E88E5"/>
                <w:sz w:val="20"/>
              </w:rPr>
              <w:t>51 oz</w:t>
            </w:r>
          </w:p>
        </w:tc>
        <w:tc>
          <w:tcPr>
            <w:tcW w:w="1612" w:type="dxa"/>
            <w:shd w:val="clear" w:color="auto" w:fill="F2F4F7"/>
            <w:vAlign w:val="center"/>
          </w:tcPr>
          <w:p w14:paraId="078EE1BC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25 oz</w:t>
            </w:r>
          </w:p>
        </w:tc>
        <w:tc>
          <w:tcPr>
            <w:tcW w:w="1640" w:type="dxa"/>
            <w:shd w:val="clear" w:color="auto" w:fill="F2F4F7"/>
            <w:vAlign w:val="center"/>
          </w:tcPr>
          <w:p w14:paraId="0F76A28C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27.7 oz</w:t>
            </w:r>
          </w:p>
        </w:tc>
        <w:tc>
          <w:tcPr>
            <w:tcW w:w="1610" w:type="dxa"/>
            <w:shd w:val="clear" w:color="auto" w:fill="F2F4F7"/>
            <w:vAlign w:val="center"/>
          </w:tcPr>
          <w:p w14:paraId="55468B25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22 oz</w:t>
            </w:r>
          </w:p>
        </w:tc>
        <w:tc>
          <w:tcPr>
            <w:tcW w:w="1637" w:type="dxa"/>
            <w:shd w:val="clear" w:color="auto" w:fill="F2F4F7"/>
            <w:vAlign w:val="center"/>
          </w:tcPr>
          <w:p w14:paraId="0E54E811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19.6 oz</w:t>
            </w:r>
          </w:p>
        </w:tc>
        <w:tc>
          <w:tcPr>
            <w:tcW w:w="1591" w:type="dxa"/>
            <w:shd w:val="clear" w:color="auto" w:fill="F2F4F7"/>
            <w:vAlign w:val="center"/>
          </w:tcPr>
          <w:p w14:paraId="6A579942" w14:textId="2FD949EA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20.8 oz</w:t>
            </w:r>
          </w:p>
        </w:tc>
        <w:tc>
          <w:tcPr>
            <w:tcW w:w="2176" w:type="dxa"/>
            <w:shd w:val="clear" w:color="auto" w:fill="F2F4F7"/>
            <w:vAlign w:val="center"/>
          </w:tcPr>
          <w:p w14:paraId="3D9F64F3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48.6 oz</w:t>
            </w:r>
          </w:p>
        </w:tc>
      </w:tr>
      <w:tr w:rsidR="00975FCC" w:rsidRPr="00975FCC" w14:paraId="76672939" w14:textId="77777777" w:rsidTr="00975FCC">
        <w:trPr>
          <w:trHeight w:val="559"/>
        </w:trPr>
        <w:tc>
          <w:tcPr>
            <w:tcW w:w="1724" w:type="dxa"/>
            <w:shd w:val="clear" w:color="auto" w:fill="FFFFFF"/>
            <w:vAlign w:val="center"/>
          </w:tcPr>
          <w:p w14:paraId="758FF982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auto"/>
                <w:sz w:val="20"/>
              </w:rPr>
              <w:t>Filter Media Weight</w:t>
            </w:r>
          </w:p>
        </w:tc>
        <w:tc>
          <w:tcPr>
            <w:tcW w:w="1661" w:type="dxa"/>
            <w:shd w:val="clear" w:color="auto" w:fill="FFFFFF"/>
            <w:vAlign w:val="center"/>
          </w:tcPr>
          <w:p w14:paraId="2F63F2C1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1E88E5"/>
                <w:sz w:val="20"/>
              </w:rPr>
              <w:t>36.32 oz</w:t>
            </w:r>
          </w:p>
        </w:tc>
        <w:tc>
          <w:tcPr>
            <w:tcW w:w="1612" w:type="dxa"/>
            <w:shd w:val="clear" w:color="auto" w:fill="FFFFFF"/>
            <w:vAlign w:val="center"/>
          </w:tcPr>
          <w:p w14:paraId="286499C6" w14:textId="5A220C2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15 oz</w:t>
            </w:r>
          </w:p>
        </w:tc>
        <w:tc>
          <w:tcPr>
            <w:tcW w:w="1640" w:type="dxa"/>
            <w:shd w:val="clear" w:color="auto" w:fill="FFFFFF"/>
            <w:vAlign w:val="center"/>
          </w:tcPr>
          <w:p w14:paraId="366C1B98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24 oz</w:t>
            </w:r>
          </w:p>
        </w:tc>
        <w:tc>
          <w:tcPr>
            <w:tcW w:w="1610" w:type="dxa"/>
            <w:shd w:val="clear" w:color="auto" w:fill="FFFFFF"/>
            <w:vAlign w:val="center"/>
          </w:tcPr>
          <w:p w14:paraId="6C6B67D0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10 oz</w:t>
            </w:r>
          </w:p>
        </w:tc>
        <w:tc>
          <w:tcPr>
            <w:tcW w:w="1637" w:type="dxa"/>
            <w:shd w:val="clear" w:color="auto" w:fill="FFFFFF"/>
            <w:vAlign w:val="center"/>
          </w:tcPr>
          <w:p w14:paraId="6F7A8F58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—</w:t>
            </w:r>
          </w:p>
        </w:tc>
        <w:tc>
          <w:tcPr>
            <w:tcW w:w="1591" w:type="dxa"/>
            <w:shd w:val="clear" w:color="auto" w:fill="FFFFFF"/>
            <w:vAlign w:val="center"/>
          </w:tcPr>
          <w:p w14:paraId="4BDA1BAE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—</w:t>
            </w:r>
          </w:p>
        </w:tc>
        <w:tc>
          <w:tcPr>
            <w:tcW w:w="2176" w:type="dxa"/>
            <w:shd w:val="clear" w:color="auto" w:fill="FFFFFF"/>
            <w:vAlign w:val="center"/>
          </w:tcPr>
          <w:p w14:paraId="0964ADAB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26.7 oz</w:t>
            </w:r>
          </w:p>
        </w:tc>
      </w:tr>
      <w:tr w:rsidR="00975FCC" w:rsidRPr="00975FCC" w14:paraId="27CE6F12" w14:textId="77777777" w:rsidTr="00975FCC">
        <w:trPr>
          <w:trHeight w:val="808"/>
        </w:trPr>
        <w:tc>
          <w:tcPr>
            <w:tcW w:w="1724" w:type="dxa"/>
            <w:shd w:val="clear" w:color="auto" w:fill="F2F4F7"/>
            <w:vAlign w:val="center"/>
          </w:tcPr>
          <w:p w14:paraId="6EA56112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auto"/>
                <w:sz w:val="20"/>
              </w:rPr>
              <w:t>Breakdown of Media</w:t>
            </w:r>
          </w:p>
        </w:tc>
        <w:tc>
          <w:tcPr>
            <w:tcW w:w="1661" w:type="dxa"/>
            <w:shd w:val="clear" w:color="auto" w:fill="F2F4F7"/>
            <w:vAlign w:val="center"/>
          </w:tcPr>
          <w:p w14:paraId="5989E8FF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1E88E5"/>
                <w:sz w:val="20"/>
              </w:rPr>
              <w:t>Carbon Blend, KDF 85, Resin Blend</w:t>
            </w:r>
          </w:p>
        </w:tc>
        <w:tc>
          <w:tcPr>
            <w:tcW w:w="1612" w:type="dxa"/>
            <w:shd w:val="clear" w:color="auto" w:fill="F2F4F7"/>
            <w:vAlign w:val="center"/>
          </w:tcPr>
          <w:p w14:paraId="1ABC696A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Carbon, KDF 55</w:t>
            </w:r>
          </w:p>
        </w:tc>
        <w:tc>
          <w:tcPr>
            <w:tcW w:w="1640" w:type="dxa"/>
            <w:shd w:val="clear" w:color="auto" w:fill="F2F4F7"/>
            <w:vAlign w:val="center"/>
          </w:tcPr>
          <w:p w14:paraId="4924B4C4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</w:rPr>
              <w:t>Carbon, KDF 55</w:t>
            </w:r>
          </w:p>
        </w:tc>
        <w:tc>
          <w:tcPr>
            <w:tcW w:w="1610" w:type="dxa"/>
            <w:shd w:val="clear" w:color="auto" w:fill="F2F4F7"/>
            <w:vAlign w:val="center"/>
          </w:tcPr>
          <w:p w14:paraId="203791F4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Carbon, KDF 55</w:t>
            </w:r>
          </w:p>
        </w:tc>
        <w:tc>
          <w:tcPr>
            <w:tcW w:w="1637" w:type="dxa"/>
            <w:shd w:val="clear" w:color="auto" w:fill="F2F4F7"/>
            <w:vAlign w:val="center"/>
          </w:tcPr>
          <w:p w14:paraId="0EE713D0" w14:textId="130E9E64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</w:rPr>
              <w:t xml:space="preserve">Carbon, Rocks (yes rocks) </w:t>
            </w:r>
          </w:p>
        </w:tc>
        <w:tc>
          <w:tcPr>
            <w:tcW w:w="1591" w:type="dxa"/>
            <w:shd w:val="clear" w:color="auto" w:fill="F2F4F7"/>
            <w:vAlign w:val="center"/>
          </w:tcPr>
          <w:p w14:paraId="51EFC1B1" w14:textId="3ECF466E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—</w:t>
            </w:r>
          </w:p>
        </w:tc>
        <w:tc>
          <w:tcPr>
            <w:tcW w:w="2176" w:type="dxa"/>
            <w:shd w:val="clear" w:color="auto" w:fill="F2F4F7"/>
            <w:vAlign w:val="center"/>
          </w:tcPr>
          <w:p w14:paraId="75E686CD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Carbon (Impregnated)</w:t>
            </w:r>
          </w:p>
        </w:tc>
      </w:tr>
      <w:tr w:rsidR="00975FCC" w:rsidRPr="00975FCC" w14:paraId="66DEDA65" w14:textId="77777777" w:rsidTr="00975FCC">
        <w:trPr>
          <w:trHeight w:val="559"/>
        </w:trPr>
        <w:tc>
          <w:tcPr>
            <w:tcW w:w="1724" w:type="dxa"/>
            <w:shd w:val="clear" w:color="auto" w:fill="FFFFFF"/>
            <w:vAlign w:val="center"/>
          </w:tcPr>
          <w:p w14:paraId="3587BE1C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auto"/>
                <w:sz w:val="20"/>
              </w:rPr>
              <w:t>Flow Rate</w:t>
            </w:r>
          </w:p>
        </w:tc>
        <w:tc>
          <w:tcPr>
            <w:tcW w:w="1661" w:type="dxa"/>
            <w:shd w:val="clear" w:color="auto" w:fill="FFFFFF"/>
            <w:vAlign w:val="center"/>
          </w:tcPr>
          <w:p w14:paraId="33951755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1E88E5"/>
                <w:sz w:val="20"/>
              </w:rPr>
              <w:t>1 GPM</w:t>
            </w:r>
          </w:p>
        </w:tc>
        <w:tc>
          <w:tcPr>
            <w:tcW w:w="1612" w:type="dxa"/>
            <w:shd w:val="clear" w:color="auto" w:fill="FFFFFF"/>
            <w:vAlign w:val="center"/>
          </w:tcPr>
          <w:p w14:paraId="79ACE594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Max Flow Rate 2 GPM</w:t>
            </w:r>
          </w:p>
        </w:tc>
        <w:tc>
          <w:tcPr>
            <w:tcW w:w="1640" w:type="dxa"/>
            <w:shd w:val="clear" w:color="auto" w:fill="FFFFFF"/>
            <w:vAlign w:val="center"/>
          </w:tcPr>
          <w:p w14:paraId="78F04677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.5 gpm</w:t>
            </w:r>
          </w:p>
        </w:tc>
        <w:tc>
          <w:tcPr>
            <w:tcW w:w="1610" w:type="dxa"/>
            <w:shd w:val="clear" w:color="auto" w:fill="FFFFFF"/>
            <w:vAlign w:val="center"/>
          </w:tcPr>
          <w:p w14:paraId="34CC2C0E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—</w:t>
            </w:r>
          </w:p>
        </w:tc>
        <w:tc>
          <w:tcPr>
            <w:tcW w:w="1637" w:type="dxa"/>
            <w:shd w:val="clear" w:color="auto" w:fill="FFFFFF"/>
            <w:vAlign w:val="center"/>
          </w:tcPr>
          <w:p w14:paraId="17C2F36C" w14:textId="5FE092A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—</w:t>
            </w:r>
          </w:p>
        </w:tc>
        <w:tc>
          <w:tcPr>
            <w:tcW w:w="1591" w:type="dxa"/>
            <w:shd w:val="clear" w:color="auto" w:fill="FFFFFF"/>
            <w:vAlign w:val="center"/>
          </w:tcPr>
          <w:p w14:paraId="2D014403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2.5 GPM Max</w:t>
            </w:r>
          </w:p>
        </w:tc>
        <w:tc>
          <w:tcPr>
            <w:tcW w:w="2176" w:type="dxa"/>
            <w:shd w:val="clear" w:color="auto" w:fill="FFFFFF"/>
            <w:vAlign w:val="center"/>
          </w:tcPr>
          <w:p w14:paraId="249AEF66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—</w:t>
            </w:r>
          </w:p>
        </w:tc>
      </w:tr>
      <w:tr w:rsidR="00975FCC" w:rsidRPr="00975FCC" w14:paraId="5FC58B38" w14:textId="77777777" w:rsidTr="00975FCC">
        <w:trPr>
          <w:trHeight w:val="575"/>
        </w:trPr>
        <w:tc>
          <w:tcPr>
            <w:tcW w:w="1724" w:type="dxa"/>
            <w:shd w:val="clear" w:color="auto" w:fill="F2F4F7"/>
            <w:vAlign w:val="center"/>
          </w:tcPr>
          <w:p w14:paraId="0E6D3354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auto"/>
                <w:sz w:val="20"/>
              </w:rPr>
              <w:t>Capacity Gallons</w:t>
            </w:r>
          </w:p>
        </w:tc>
        <w:tc>
          <w:tcPr>
            <w:tcW w:w="1661" w:type="dxa"/>
            <w:shd w:val="clear" w:color="auto" w:fill="F2F4F7"/>
            <w:vAlign w:val="center"/>
          </w:tcPr>
          <w:p w14:paraId="0E56E0CE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1E88E5"/>
                <w:sz w:val="20"/>
              </w:rPr>
              <w:t xml:space="preserve">20,000 </w:t>
            </w:r>
          </w:p>
        </w:tc>
        <w:tc>
          <w:tcPr>
            <w:tcW w:w="1612" w:type="dxa"/>
            <w:shd w:val="clear" w:color="auto" w:fill="F2F4F7"/>
            <w:vAlign w:val="center"/>
          </w:tcPr>
          <w:p w14:paraId="35FAF6A9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 xml:space="preserve">10,000 </w:t>
            </w:r>
          </w:p>
        </w:tc>
        <w:tc>
          <w:tcPr>
            <w:tcW w:w="1640" w:type="dxa"/>
            <w:shd w:val="clear" w:color="auto" w:fill="F2F4F7"/>
            <w:vAlign w:val="center"/>
          </w:tcPr>
          <w:p w14:paraId="77D5713B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 xml:space="preserve">45,000 </w:t>
            </w:r>
          </w:p>
        </w:tc>
        <w:tc>
          <w:tcPr>
            <w:tcW w:w="1610" w:type="dxa"/>
            <w:shd w:val="clear" w:color="auto" w:fill="F2F4F7"/>
            <w:vAlign w:val="center"/>
          </w:tcPr>
          <w:p w14:paraId="5265DB58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 xml:space="preserve">8000 </w:t>
            </w:r>
          </w:p>
        </w:tc>
        <w:tc>
          <w:tcPr>
            <w:tcW w:w="1637" w:type="dxa"/>
            <w:shd w:val="clear" w:color="auto" w:fill="F2F4F7"/>
            <w:vAlign w:val="center"/>
          </w:tcPr>
          <w:p w14:paraId="289CA300" w14:textId="608A4066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</w:rPr>
              <w:t>40,000</w:t>
            </w:r>
          </w:p>
        </w:tc>
        <w:tc>
          <w:tcPr>
            <w:tcW w:w="1591" w:type="dxa"/>
            <w:shd w:val="clear" w:color="auto" w:fill="F2F4F7"/>
            <w:vAlign w:val="center"/>
          </w:tcPr>
          <w:p w14:paraId="1C25FD49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40,000</w:t>
            </w:r>
          </w:p>
        </w:tc>
        <w:tc>
          <w:tcPr>
            <w:tcW w:w="2176" w:type="dxa"/>
            <w:shd w:val="clear" w:color="auto" w:fill="F2F4F7"/>
            <w:vAlign w:val="center"/>
          </w:tcPr>
          <w:p w14:paraId="78729B87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5000 gallons</w:t>
            </w:r>
          </w:p>
        </w:tc>
      </w:tr>
      <w:tr w:rsidR="00975FCC" w:rsidRPr="00975FCC" w14:paraId="3812EFD2" w14:textId="77777777" w:rsidTr="00975FCC">
        <w:trPr>
          <w:trHeight w:val="342"/>
        </w:trPr>
        <w:tc>
          <w:tcPr>
            <w:tcW w:w="1724" w:type="dxa"/>
            <w:shd w:val="clear" w:color="auto" w:fill="FFFFFF"/>
            <w:vAlign w:val="center"/>
          </w:tcPr>
          <w:p w14:paraId="387AC2E1" w14:textId="1A334CD6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auto"/>
                <w:sz w:val="20"/>
              </w:rPr>
              <w:t xml:space="preserve">TDS </w:t>
            </w:r>
            <w:r w:rsidRPr="00975FCC">
              <w:rPr>
                <w:rFonts w:ascii="Cambria" w:eastAsia="MS Mincho" w:hAnsi="Cambria" w:cs="Times New Roman"/>
                <w:b/>
                <w:color w:val="auto"/>
                <w:sz w:val="20"/>
              </w:rPr>
              <w:t>Reduction</w:t>
            </w:r>
          </w:p>
        </w:tc>
        <w:tc>
          <w:tcPr>
            <w:tcW w:w="1661" w:type="dxa"/>
            <w:shd w:val="clear" w:color="auto" w:fill="FFFFFF"/>
            <w:vAlign w:val="center"/>
          </w:tcPr>
          <w:p w14:paraId="5892FBEB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1E88E5"/>
                <w:sz w:val="20"/>
              </w:rPr>
              <w:t>Yes</w:t>
            </w:r>
          </w:p>
        </w:tc>
        <w:tc>
          <w:tcPr>
            <w:tcW w:w="1612" w:type="dxa"/>
            <w:shd w:val="clear" w:color="auto" w:fill="FFFFFF"/>
            <w:vAlign w:val="center"/>
          </w:tcPr>
          <w:p w14:paraId="19D73978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No</w:t>
            </w:r>
          </w:p>
        </w:tc>
        <w:tc>
          <w:tcPr>
            <w:tcW w:w="1640" w:type="dxa"/>
            <w:shd w:val="clear" w:color="auto" w:fill="FFFFFF"/>
            <w:vAlign w:val="center"/>
          </w:tcPr>
          <w:p w14:paraId="70C474ED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No</w:t>
            </w:r>
          </w:p>
        </w:tc>
        <w:tc>
          <w:tcPr>
            <w:tcW w:w="1610" w:type="dxa"/>
            <w:shd w:val="clear" w:color="auto" w:fill="FFFFFF"/>
            <w:vAlign w:val="center"/>
          </w:tcPr>
          <w:p w14:paraId="3BC69B1D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No</w:t>
            </w:r>
          </w:p>
        </w:tc>
        <w:tc>
          <w:tcPr>
            <w:tcW w:w="1637" w:type="dxa"/>
            <w:shd w:val="clear" w:color="auto" w:fill="FFFFFF"/>
            <w:vAlign w:val="center"/>
          </w:tcPr>
          <w:p w14:paraId="4D397A7B" w14:textId="7D28463A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No</w:t>
            </w:r>
          </w:p>
        </w:tc>
        <w:tc>
          <w:tcPr>
            <w:tcW w:w="1591" w:type="dxa"/>
            <w:shd w:val="clear" w:color="auto" w:fill="FFFFFF"/>
            <w:vAlign w:val="center"/>
          </w:tcPr>
          <w:p w14:paraId="311C9D72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</w:rPr>
              <w:t>No</w:t>
            </w:r>
          </w:p>
        </w:tc>
        <w:tc>
          <w:tcPr>
            <w:tcW w:w="2176" w:type="dxa"/>
            <w:shd w:val="clear" w:color="auto" w:fill="FFFFFF"/>
            <w:vAlign w:val="center"/>
          </w:tcPr>
          <w:p w14:paraId="31D0F34F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No</w:t>
            </w:r>
          </w:p>
        </w:tc>
      </w:tr>
      <w:tr w:rsidR="00975FCC" w:rsidRPr="00975FCC" w14:paraId="6959DE17" w14:textId="77777777" w:rsidTr="00975FCC">
        <w:trPr>
          <w:trHeight w:val="326"/>
        </w:trPr>
        <w:tc>
          <w:tcPr>
            <w:tcW w:w="1724" w:type="dxa"/>
            <w:shd w:val="clear" w:color="auto" w:fill="F2F4F7"/>
            <w:vAlign w:val="center"/>
          </w:tcPr>
          <w:p w14:paraId="49872820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auto"/>
                <w:sz w:val="20"/>
              </w:rPr>
              <w:t>Length</w:t>
            </w:r>
          </w:p>
        </w:tc>
        <w:tc>
          <w:tcPr>
            <w:tcW w:w="1661" w:type="dxa"/>
            <w:shd w:val="clear" w:color="auto" w:fill="F2F4F7"/>
            <w:vAlign w:val="center"/>
          </w:tcPr>
          <w:p w14:paraId="611B2F7C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1E88E5"/>
                <w:sz w:val="20"/>
              </w:rPr>
              <w:t>10</w:t>
            </w:r>
          </w:p>
        </w:tc>
        <w:tc>
          <w:tcPr>
            <w:tcW w:w="1612" w:type="dxa"/>
            <w:shd w:val="clear" w:color="auto" w:fill="F2F4F7"/>
            <w:vAlign w:val="center"/>
          </w:tcPr>
          <w:p w14:paraId="6AF99C69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11.825</w:t>
            </w:r>
          </w:p>
        </w:tc>
        <w:tc>
          <w:tcPr>
            <w:tcW w:w="1640" w:type="dxa"/>
            <w:shd w:val="clear" w:color="auto" w:fill="F2F4F7"/>
            <w:vAlign w:val="center"/>
          </w:tcPr>
          <w:p w14:paraId="04F2455C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12</w:t>
            </w:r>
          </w:p>
        </w:tc>
        <w:tc>
          <w:tcPr>
            <w:tcW w:w="1610" w:type="dxa"/>
            <w:shd w:val="clear" w:color="auto" w:fill="F2F4F7"/>
            <w:vAlign w:val="center"/>
          </w:tcPr>
          <w:p w14:paraId="5D5B8C66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10.5</w:t>
            </w:r>
          </w:p>
        </w:tc>
        <w:tc>
          <w:tcPr>
            <w:tcW w:w="1637" w:type="dxa"/>
            <w:shd w:val="clear" w:color="auto" w:fill="F2F4F7"/>
            <w:vAlign w:val="center"/>
          </w:tcPr>
          <w:p w14:paraId="1C2604D1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10</w:t>
            </w:r>
          </w:p>
        </w:tc>
        <w:tc>
          <w:tcPr>
            <w:tcW w:w="1591" w:type="dxa"/>
            <w:shd w:val="clear" w:color="auto" w:fill="F2F4F7"/>
            <w:vAlign w:val="center"/>
          </w:tcPr>
          <w:p w14:paraId="79937EA5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9.875</w:t>
            </w:r>
          </w:p>
        </w:tc>
        <w:tc>
          <w:tcPr>
            <w:tcW w:w="2176" w:type="dxa"/>
            <w:shd w:val="clear" w:color="auto" w:fill="F2F4F7"/>
            <w:vAlign w:val="center"/>
          </w:tcPr>
          <w:p w14:paraId="2A6E6D0A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19.5</w:t>
            </w:r>
          </w:p>
        </w:tc>
      </w:tr>
      <w:tr w:rsidR="00975FCC" w:rsidRPr="00975FCC" w14:paraId="246B5073" w14:textId="77777777" w:rsidTr="00975FCC">
        <w:trPr>
          <w:trHeight w:val="311"/>
        </w:trPr>
        <w:tc>
          <w:tcPr>
            <w:tcW w:w="1724" w:type="dxa"/>
            <w:shd w:val="clear" w:color="auto" w:fill="FFFFFF"/>
            <w:vAlign w:val="center"/>
          </w:tcPr>
          <w:p w14:paraId="37AA00CE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auto"/>
                <w:sz w:val="20"/>
              </w:rPr>
              <w:t>O.D</w:t>
            </w:r>
          </w:p>
        </w:tc>
        <w:tc>
          <w:tcPr>
            <w:tcW w:w="1661" w:type="dxa"/>
            <w:shd w:val="clear" w:color="auto" w:fill="FFFFFF"/>
            <w:vAlign w:val="center"/>
          </w:tcPr>
          <w:p w14:paraId="0FEDC09F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1E88E5"/>
                <w:sz w:val="20"/>
              </w:rPr>
              <w:t>4.6</w:t>
            </w:r>
          </w:p>
        </w:tc>
        <w:tc>
          <w:tcPr>
            <w:tcW w:w="1612" w:type="dxa"/>
            <w:shd w:val="clear" w:color="auto" w:fill="FFFFFF"/>
            <w:vAlign w:val="center"/>
          </w:tcPr>
          <w:p w14:paraId="2F0348D0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2.48</w:t>
            </w:r>
          </w:p>
        </w:tc>
        <w:tc>
          <w:tcPr>
            <w:tcW w:w="1640" w:type="dxa"/>
            <w:shd w:val="clear" w:color="auto" w:fill="FFFFFF"/>
            <w:vAlign w:val="center"/>
          </w:tcPr>
          <w:p w14:paraId="2C0D1E1E" w14:textId="08DD85F4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2.49</w:t>
            </w:r>
          </w:p>
        </w:tc>
        <w:tc>
          <w:tcPr>
            <w:tcW w:w="1610" w:type="dxa"/>
            <w:shd w:val="clear" w:color="auto" w:fill="FFFFFF"/>
            <w:vAlign w:val="center"/>
          </w:tcPr>
          <w:p w14:paraId="0E49347A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2.41</w:t>
            </w:r>
          </w:p>
        </w:tc>
        <w:tc>
          <w:tcPr>
            <w:tcW w:w="1637" w:type="dxa"/>
            <w:shd w:val="clear" w:color="auto" w:fill="FFFFFF"/>
            <w:vAlign w:val="center"/>
          </w:tcPr>
          <w:p w14:paraId="296EDC0D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2.5</w:t>
            </w:r>
          </w:p>
        </w:tc>
        <w:tc>
          <w:tcPr>
            <w:tcW w:w="1591" w:type="dxa"/>
            <w:shd w:val="clear" w:color="auto" w:fill="FFFFFF"/>
            <w:vAlign w:val="center"/>
          </w:tcPr>
          <w:p w14:paraId="1CFCAD40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2.45</w:t>
            </w:r>
          </w:p>
        </w:tc>
        <w:tc>
          <w:tcPr>
            <w:tcW w:w="2176" w:type="dxa"/>
            <w:shd w:val="clear" w:color="auto" w:fill="FFFFFF"/>
            <w:vAlign w:val="center"/>
          </w:tcPr>
          <w:p w14:paraId="248F3184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2.37</w:t>
            </w:r>
          </w:p>
        </w:tc>
      </w:tr>
      <w:tr w:rsidR="00975FCC" w:rsidRPr="00975FCC" w14:paraId="139A7942" w14:textId="77777777" w:rsidTr="00975FCC">
        <w:trPr>
          <w:trHeight w:val="559"/>
        </w:trPr>
        <w:tc>
          <w:tcPr>
            <w:tcW w:w="1724" w:type="dxa"/>
            <w:shd w:val="clear" w:color="auto" w:fill="F2F4F7"/>
            <w:vAlign w:val="center"/>
          </w:tcPr>
          <w:p w14:paraId="43FA07CC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auto"/>
                <w:sz w:val="20"/>
              </w:rPr>
              <w:t>Total Cubic Inches</w:t>
            </w:r>
          </w:p>
        </w:tc>
        <w:tc>
          <w:tcPr>
            <w:tcW w:w="1661" w:type="dxa"/>
            <w:shd w:val="clear" w:color="auto" w:fill="F2F4F7"/>
            <w:vAlign w:val="center"/>
          </w:tcPr>
          <w:p w14:paraId="6A09E38A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b/>
                <w:color w:val="1E88E5"/>
                <w:sz w:val="20"/>
              </w:rPr>
              <w:t>166.1 in3</w:t>
            </w:r>
          </w:p>
        </w:tc>
        <w:tc>
          <w:tcPr>
            <w:tcW w:w="1612" w:type="dxa"/>
            <w:shd w:val="clear" w:color="auto" w:fill="F2F4F7"/>
            <w:vAlign w:val="center"/>
          </w:tcPr>
          <w:p w14:paraId="186B1B73" w14:textId="6776E602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57.1 in3</w:t>
            </w:r>
          </w:p>
        </w:tc>
        <w:tc>
          <w:tcPr>
            <w:tcW w:w="1640" w:type="dxa"/>
            <w:shd w:val="clear" w:color="auto" w:fill="F2F4F7"/>
            <w:vAlign w:val="center"/>
          </w:tcPr>
          <w:p w14:paraId="6008B6FC" w14:textId="2754C613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58.4 in3</w:t>
            </w:r>
          </w:p>
        </w:tc>
        <w:tc>
          <w:tcPr>
            <w:tcW w:w="1610" w:type="dxa"/>
            <w:shd w:val="clear" w:color="auto" w:fill="F2F4F7"/>
            <w:vAlign w:val="center"/>
          </w:tcPr>
          <w:p w14:paraId="4960C1D4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47.9 in3</w:t>
            </w:r>
          </w:p>
        </w:tc>
        <w:tc>
          <w:tcPr>
            <w:tcW w:w="1637" w:type="dxa"/>
            <w:shd w:val="clear" w:color="auto" w:fill="F2F4F7"/>
            <w:vAlign w:val="center"/>
          </w:tcPr>
          <w:p w14:paraId="1FF8CB84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49.1 in3</w:t>
            </w:r>
          </w:p>
        </w:tc>
        <w:tc>
          <w:tcPr>
            <w:tcW w:w="1591" w:type="dxa"/>
            <w:shd w:val="clear" w:color="auto" w:fill="F2F4F7"/>
            <w:vAlign w:val="center"/>
          </w:tcPr>
          <w:p w14:paraId="26A45734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46.6 in3</w:t>
            </w:r>
          </w:p>
        </w:tc>
        <w:tc>
          <w:tcPr>
            <w:tcW w:w="2176" w:type="dxa"/>
            <w:shd w:val="clear" w:color="auto" w:fill="F2F4F7"/>
            <w:vAlign w:val="center"/>
          </w:tcPr>
          <w:p w14:paraId="09B22DFA" w14:textId="77777777" w:rsidR="00975FCC" w:rsidRPr="00975FCC" w:rsidRDefault="00975FCC" w:rsidP="00975FCC">
            <w:pPr>
              <w:spacing w:before="40" w:after="40" w:line="240" w:lineRule="auto"/>
              <w:rPr>
                <w:rFonts w:ascii="Cambria" w:eastAsia="MS Mincho" w:hAnsi="Cambria" w:cs="Times New Roman"/>
                <w:color w:val="auto"/>
              </w:rPr>
            </w:pPr>
            <w:r w:rsidRPr="00975FCC">
              <w:rPr>
                <w:rFonts w:ascii="Cambria" w:eastAsia="MS Mincho" w:hAnsi="Cambria" w:cs="Times New Roman"/>
                <w:color w:val="auto"/>
                <w:sz w:val="20"/>
              </w:rPr>
              <w:t>86 in3</w:t>
            </w:r>
          </w:p>
        </w:tc>
      </w:tr>
    </w:tbl>
    <w:p w14:paraId="4162F74C" w14:textId="66557E77" w:rsidR="00975FCC" w:rsidRPr="00975FCC" w:rsidRDefault="00975FCC" w:rsidP="00975FCC">
      <w:pPr>
        <w:spacing w:after="200" w:line="276" w:lineRule="auto"/>
        <w:rPr>
          <w:rFonts w:ascii="Cambria" w:eastAsia="MS Mincho" w:hAnsi="Cambria" w:cs="Times New Roman"/>
          <w:color w:val="0070C0"/>
          <w:kern w:val="0"/>
          <w:szCs w:val="22"/>
          <w14:ligatures w14:val="none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445CB96F" wp14:editId="5ECF4A95">
            <wp:simplePos x="0" y="0"/>
            <wp:positionH relativeFrom="column">
              <wp:posOffset>6457950</wp:posOffset>
            </wp:positionH>
            <wp:positionV relativeFrom="page">
              <wp:posOffset>266700</wp:posOffset>
            </wp:positionV>
            <wp:extent cx="2267585" cy="663575"/>
            <wp:effectExtent l="0" t="0" r="0" b="3175"/>
            <wp:wrapTight wrapText="bothSides">
              <wp:wrapPolygon edited="0">
                <wp:start x="0" y="0"/>
                <wp:lineTo x="0" y="21083"/>
                <wp:lineTo x="21412" y="21083"/>
                <wp:lineTo x="21412" y="0"/>
                <wp:lineTo x="0" y="0"/>
              </wp:wrapPolygon>
            </wp:wrapTight>
            <wp:docPr id="1958820831" name="Picture 1" descr="A blue and black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579882" name="Picture 1" descr="A blue and black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585" cy="663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75FCC">
        <w:rPr>
          <w:rFonts w:ascii="Cambria" w:eastAsia="MS Mincho" w:hAnsi="Cambria" w:cs="Times New Roman"/>
          <w:b/>
          <w:color w:val="0070C0"/>
          <w:kern w:val="0"/>
          <w:sz w:val="40"/>
          <w:szCs w:val="22"/>
          <w14:ligatures w14:val="none"/>
        </w:rPr>
        <w:t>Metal Monster vs. Other Hose Filters</w:t>
      </w:r>
    </w:p>
    <w:p w14:paraId="1FF44CFA" w14:textId="62D57E9A" w:rsidR="00975FCC" w:rsidRPr="00975FCC" w:rsidRDefault="00975FCC" w:rsidP="00975FCC">
      <w:pPr>
        <w:spacing w:after="200" w:line="276" w:lineRule="auto"/>
        <w:rPr>
          <w:rFonts w:ascii="Cambria" w:eastAsia="MS Mincho" w:hAnsi="Cambria" w:cs="Times New Roman"/>
          <w:b/>
          <w:color w:val="0070C0"/>
          <w:kern w:val="0"/>
          <w:sz w:val="28"/>
          <w:szCs w:val="28"/>
          <w14:ligatures w14:val="none"/>
        </w:rPr>
      </w:pPr>
      <w:r w:rsidRPr="00975FCC">
        <w:rPr>
          <w:rFonts w:ascii="Cambria" w:eastAsia="MS Mincho" w:hAnsi="Cambria" w:cs="Times New Roman"/>
          <w:b/>
          <w:color w:val="0070C0"/>
          <w:kern w:val="0"/>
          <w:sz w:val="28"/>
          <w:szCs w:val="28"/>
          <w14:ligatures w14:val="none"/>
        </w:rPr>
        <w:t>Why Metal Monster Wins</w:t>
      </w:r>
      <w:r w:rsidRPr="00975FCC">
        <w:rPr>
          <w:rFonts w:ascii="Cambria" w:eastAsia="MS Mincho" w:hAnsi="Cambria" w:cs="Times New Roman"/>
          <w:b/>
          <w:color w:val="0070C0"/>
          <w:kern w:val="0"/>
          <w:sz w:val="28"/>
          <w:szCs w:val="28"/>
          <w14:ligatures w14:val="none"/>
        </w:rPr>
        <w:t>:</w:t>
      </w:r>
    </w:p>
    <w:p w14:paraId="0AC7C065" w14:textId="13595D1B" w:rsidR="00975FCC" w:rsidRPr="00975FCC" w:rsidRDefault="00975FCC" w:rsidP="00975FCC">
      <w:pPr>
        <w:spacing w:after="200" w:line="276" w:lineRule="auto"/>
        <w:rPr>
          <w:rFonts w:ascii="Cambria" w:eastAsia="MS Mincho" w:hAnsi="Cambria" w:cs="Times New Roman"/>
          <w:b/>
          <w:color w:val="auto"/>
          <w:kern w:val="0"/>
          <w:szCs w:val="22"/>
          <w14:ligatures w14:val="none"/>
        </w:rPr>
      </w:pPr>
      <w:r w:rsidRPr="00975FCC">
        <w:rPr>
          <w:rFonts w:ascii="Cambria" w:eastAsia="MS Mincho" w:hAnsi="Cambria" w:cs="Times New Roman"/>
          <w:color w:val="auto"/>
          <w:kern w:val="0"/>
          <w:szCs w:val="22"/>
          <w14:ligatures w14:val="none"/>
        </w:rPr>
        <w:t>Most filter media: 36.32 oz (2.4× vs 15 oz, 2.7× vs 13.5 oz, 3.6× vs 10 oz).</w:t>
      </w:r>
      <w:r w:rsidRPr="00975FCC">
        <w:rPr>
          <w:noProof/>
        </w:rPr>
        <w:t xml:space="preserve"> </w:t>
      </w:r>
    </w:p>
    <w:p w14:paraId="2C2C9100" w14:textId="77777777" w:rsidR="00975FCC" w:rsidRPr="00975FCC" w:rsidRDefault="00975FCC" w:rsidP="00975FCC">
      <w:pPr>
        <w:tabs>
          <w:tab w:val="num" w:pos="360"/>
        </w:tabs>
        <w:spacing w:after="200" w:line="276" w:lineRule="auto"/>
        <w:ind w:left="360" w:hanging="360"/>
        <w:contextualSpacing/>
        <w:rPr>
          <w:rFonts w:ascii="Cambria" w:eastAsia="MS Mincho" w:hAnsi="Cambria" w:cs="Times New Roman"/>
          <w:color w:val="auto"/>
          <w:kern w:val="0"/>
          <w:szCs w:val="22"/>
          <w14:ligatures w14:val="none"/>
        </w:rPr>
      </w:pPr>
      <w:r w:rsidRPr="00975FCC">
        <w:rPr>
          <w:rFonts w:ascii="Cambria" w:eastAsia="MS Mincho" w:hAnsi="Cambria" w:cs="Times New Roman"/>
          <w:color w:val="auto"/>
          <w:kern w:val="0"/>
          <w:szCs w:val="22"/>
          <w14:ligatures w14:val="none"/>
        </w:rPr>
        <w:t>Largest internal volume: 166.1 in³ (~3× typical).</w:t>
      </w:r>
    </w:p>
    <w:p w14:paraId="44C36A37" w14:textId="77777777" w:rsidR="00975FCC" w:rsidRPr="00975FCC" w:rsidRDefault="00975FCC" w:rsidP="00975FCC">
      <w:pPr>
        <w:tabs>
          <w:tab w:val="num" w:pos="360"/>
        </w:tabs>
        <w:spacing w:after="200" w:line="276" w:lineRule="auto"/>
        <w:ind w:left="360" w:hanging="360"/>
        <w:contextualSpacing/>
        <w:rPr>
          <w:rFonts w:ascii="Cambria" w:eastAsia="MS Mincho" w:hAnsi="Cambria" w:cs="Times New Roman"/>
          <w:color w:val="auto"/>
          <w:kern w:val="0"/>
          <w:szCs w:val="22"/>
          <w14:ligatures w14:val="none"/>
        </w:rPr>
      </w:pPr>
      <w:r w:rsidRPr="00975FCC">
        <w:rPr>
          <w:rFonts w:ascii="Cambria" w:eastAsia="MS Mincho" w:hAnsi="Cambria" w:cs="Times New Roman"/>
          <w:color w:val="auto"/>
          <w:kern w:val="0"/>
          <w:szCs w:val="22"/>
          <w14:ligatures w14:val="none"/>
        </w:rPr>
        <w:t>Only product listed with TDS reduction = YES.</w:t>
      </w:r>
    </w:p>
    <w:p w14:paraId="17CEA92F" w14:textId="77777777" w:rsidR="00975FCC" w:rsidRPr="00975FCC" w:rsidRDefault="00975FCC" w:rsidP="00975FCC">
      <w:pPr>
        <w:spacing w:after="200" w:line="276" w:lineRule="auto"/>
        <w:ind w:left="360"/>
        <w:contextualSpacing/>
        <w:rPr>
          <w:rFonts w:ascii="Cambria" w:eastAsia="MS Mincho" w:hAnsi="Cambria" w:cs="Times New Roman"/>
          <w:color w:val="auto"/>
          <w:kern w:val="0"/>
          <w:szCs w:val="22"/>
          <w14:ligatures w14:val="none"/>
        </w:rPr>
      </w:pPr>
      <w:r w:rsidRPr="00975FCC">
        <w:rPr>
          <w:rFonts w:ascii="Cambria" w:eastAsia="MS Mincho" w:hAnsi="Cambria" w:cs="Times New Roman"/>
          <w:color w:val="auto"/>
          <w:kern w:val="0"/>
          <w:szCs w:val="22"/>
          <w14:ligatures w14:val="none"/>
        </w:rPr>
        <w:t xml:space="preserve">WHY THIS MATTERS – Our filter will remove even the ferrous iron that has become completely water soluble </w:t>
      </w:r>
    </w:p>
    <w:p w14:paraId="6E3D2472" w14:textId="77777777" w:rsidR="00975FCC" w:rsidRPr="00975FCC" w:rsidRDefault="00975FCC" w:rsidP="00975FCC">
      <w:pPr>
        <w:tabs>
          <w:tab w:val="num" w:pos="360"/>
        </w:tabs>
        <w:spacing w:after="200" w:line="276" w:lineRule="auto"/>
        <w:ind w:left="360" w:hanging="360"/>
        <w:contextualSpacing/>
        <w:rPr>
          <w:rFonts w:ascii="Cambria" w:eastAsia="MS Mincho" w:hAnsi="Cambria" w:cs="Times New Roman"/>
          <w:color w:val="auto"/>
          <w:kern w:val="0"/>
          <w:szCs w:val="22"/>
          <w14:ligatures w14:val="none"/>
        </w:rPr>
      </w:pPr>
      <w:r w:rsidRPr="00975FCC">
        <w:rPr>
          <w:rFonts w:ascii="Cambria" w:eastAsia="MS Mincho" w:hAnsi="Cambria" w:cs="Times New Roman"/>
          <w:color w:val="auto"/>
          <w:kern w:val="0"/>
          <w:szCs w:val="22"/>
          <w14:ligatures w14:val="none"/>
        </w:rPr>
        <w:t>Most complete media blend: Carbon + KDF + Resin.</w:t>
      </w:r>
    </w:p>
    <w:p w14:paraId="3AAC2858" w14:textId="77777777" w:rsidR="00975FCC" w:rsidRPr="00975FCC" w:rsidRDefault="00975FCC" w:rsidP="00975FCC">
      <w:pPr>
        <w:spacing w:after="200" w:line="276" w:lineRule="auto"/>
        <w:ind w:left="360"/>
        <w:contextualSpacing/>
        <w:rPr>
          <w:rFonts w:ascii="Cambria" w:eastAsia="MS Mincho" w:hAnsi="Cambria" w:cs="Times New Roman"/>
          <w:color w:val="auto"/>
          <w:kern w:val="0"/>
          <w:szCs w:val="22"/>
          <w14:ligatures w14:val="none"/>
        </w:rPr>
      </w:pPr>
      <w:r w:rsidRPr="00975FCC">
        <w:rPr>
          <w:rFonts w:ascii="Cambria" w:eastAsia="MS Mincho" w:hAnsi="Cambria" w:cs="Times New Roman"/>
          <w:color w:val="auto"/>
          <w:kern w:val="0"/>
          <w:szCs w:val="22"/>
          <w14:ligatures w14:val="none"/>
        </w:rPr>
        <w:t xml:space="preserve">We use KDF 85 instead of KDF 55 – KDF 85 is a better filtration media for removing ferrous and ferric iron but its more expensive so were the only ones who use it. </w:t>
      </w:r>
    </w:p>
    <w:p w14:paraId="7994866A" w14:textId="695855AD" w:rsidR="00975FCC" w:rsidRPr="00975FCC" w:rsidRDefault="00975FCC" w:rsidP="00975FCC">
      <w:pPr>
        <w:spacing w:after="200" w:line="276" w:lineRule="auto"/>
        <w:ind w:left="360"/>
        <w:contextualSpacing/>
        <w:rPr>
          <w:rFonts w:ascii="Cambria" w:eastAsia="MS Mincho" w:hAnsi="Cambria" w:cs="Times New Roman"/>
          <w:color w:val="auto"/>
          <w:kern w:val="0"/>
          <w:szCs w:val="22"/>
          <w14:ligatures w14:val="none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6B76CDF9" wp14:editId="2772A29F">
            <wp:simplePos x="0" y="0"/>
            <wp:positionH relativeFrom="column">
              <wp:posOffset>6482080</wp:posOffset>
            </wp:positionH>
            <wp:positionV relativeFrom="page">
              <wp:posOffset>228600</wp:posOffset>
            </wp:positionV>
            <wp:extent cx="2080895" cy="609600"/>
            <wp:effectExtent l="0" t="0" r="0" b="0"/>
            <wp:wrapTight wrapText="bothSides">
              <wp:wrapPolygon edited="0">
                <wp:start x="0" y="0"/>
                <wp:lineTo x="0" y="20925"/>
                <wp:lineTo x="21356" y="20925"/>
                <wp:lineTo x="21356" y="0"/>
                <wp:lineTo x="0" y="0"/>
              </wp:wrapPolygon>
            </wp:wrapTight>
            <wp:docPr id="1083579882" name="Picture 1" descr="A blue and black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579882" name="Picture 1" descr="A blue and black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895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75FCC">
        <w:rPr>
          <w:rFonts w:ascii="Cambria" w:eastAsia="MS Mincho" w:hAnsi="Cambria" w:cs="Times New Roman"/>
          <w:noProof/>
          <w:color w:val="auto"/>
          <w:kern w:val="0"/>
          <w:szCs w:val="22"/>
          <w14:ligatures w14:val="none"/>
        </w:rPr>
        <w:drawing>
          <wp:anchor distT="0" distB="0" distL="114300" distR="114300" simplePos="0" relativeHeight="251664384" behindDoc="1" locked="0" layoutInCell="1" allowOverlap="1" wp14:anchorId="384A4A4B" wp14:editId="613C97C3">
            <wp:simplePos x="0" y="0"/>
            <wp:positionH relativeFrom="column">
              <wp:posOffset>-133350</wp:posOffset>
            </wp:positionH>
            <wp:positionV relativeFrom="page">
              <wp:posOffset>847725</wp:posOffset>
            </wp:positionV>
            <wp:extent cx="8229600" cy="4619625"/>
            <wp:effectExtent l="0" t="0" r="0" b="9525"/>
            <wp:wrapTight wrapText="bothSides">
              <wp:wrapPolygon edited="0">
                <wp:start x="0" y="0"/>
                <wp:lineTo x="0" y="21555"/>
                <wp:lineTo x="21550" y="21555"/>
                <wp:lineTo x="21550" y="0"/>
                <wp:lineTo x="0" y="0"/>
              </wp:wrapPolygon>
            </wp:wrapTight>
            <wp:docPr id="1042925295" name="Picture 1" descr="A graph with a line and a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925295" name="Picture 1" descr="A graph with a line and a li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B287CA5" w14:textId="70F45B1D" w:rsidR="00975FCC" w:rsidRPr="00975FCC" w:rsidRDefault="00975FCC" w:rsidP="00975FCC"/>
    <w:sectPr w:rsidR="00975FCC" w:rsidRPr="00975FCC" w:rsidSect="00975FCC">
      <w:pgSz w:w="15840" w:h="12240" w:orient="landscape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E91BD6" w14:textId="77777777" w:rsidR="0053397D" w:rsidRDefault="0053397D" w:rsidP="00975FCC">
      <w:pPr>
        <w:spacing w:after="0" w:line="240" w:lineRule="auto"/>
      </w:pPr>
      <w:r>
        <w:separator/>
      </w:r>
    </w:p>
  </w:endnote>
  <w:endnote w:type="continuationSeparator" w:id="0">
    <w:p w14:paraId="695CF706" w14:textId="77777777" w:rsidR="0053397D" w:rsidRDefault="0053397D" w:rsidP="00975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AD137D" w14:textId="77777777" w:rsidR="0053397D" w:rsidRDefault="0053397D" w:rsidP="00975FCC">
      <w:pPr>
        <w:spacing w:after="0" w:line="240" w:lineRule="auto"/>
      </w:pPr>
      <w:r>
        <w:separator/>
      </w:r>
    </w:p>
  </w:footnote>
  <w:footnote w:type="continuationSeparator" w:id="0">
    <w:p w14:paraId="051A51A3" w14:textId="77777777" w:rsidR="0053397D" w:rsidRDefault="0053397D" w:rsidP="00975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951E3" w14:textId="77777777" w:rsidR="00975FCC" w:rsidRDefault="00975FCC">
    <w:pPr>
      <w:pStyle w:val="Header"/>
    </w:pPr>
  </w:p>
  <w:p w14:paraId="505CDB5E" w14:textId="6A2DB493" w:rsidR="00975FCC" w:rsidRDefault="00975FC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FCC"/>
    <w:rsid w:val="00337560"/>
    <w:rsid w:val="00511BE5"/>
    <w:rsid w:val="0053397D"/>
    <w:rsid w:val="00975FCC"/>
    <w:rsid w:val="00BA00C2"/>
    <w:rsid w:val="00FC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5AED09"/>
  <w15:chartTrackingRefBased/>
  <w15:docId w15:val="{ACE45BE3-324E-460A-B9DA-EF22A9CBD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FCC"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5FC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5FC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5FC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5FC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5FC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5FCC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5FCC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5FCC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5FCC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5F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5F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5F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5F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5F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5F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5F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5F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5F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5FCC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5F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5FCC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5F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5FCC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975F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5FCC"/>
    <w:pPr>
      <w:spacing w:line="278" w:lineRule="auto"/>
      <w:ind w:left="720"/>
      <w:contextualSpacing/>
    </w:pPr>
    <w:rPr>
      <w:rFonts w:asciiTheme="minorHAnsi" w:eastAsiaTheme="minorHAnsi" w:hAnsiTheme="minorHAnsi" w:cstheme="minorBidi"/>
      <w:color w:val="auto"/>
      <w:sz w:val="24"/>
    </w:rPr>
  </w:style>
  <w:style w:type="character" w:styleId="IntenseEmphasis">
    <w:name w:val="Intense Emphasis"/>
    <w:basedOn w:val="DefaultParagraphFont"/>
    <w:uiPriority w:val="21"/>
    <w:qFormat/>
    <w:rsid w:val="00975F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5F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5F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5FC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975FCC"/>
    <w:pPr>
      <w:spacing w:after="0" w:line="240" w:lineRule="auto"/>
    </w:pPr>
    <w:rPr>
      <w:rFonts w:eastAsia="MS Mincho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75F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5FCC"/>
    <w:rPr>
      <w:rFonts w:ascii="Calibri" w:eastAsia="Calibri" w:hAnsi="Calibri" w:cs="Calibri"/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975F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5FCC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388</Words>
  <Characters>1943</Characters>
  <Application>Microsoft Office Word</Application>
  <DocSecurity>0</DocSecurity>
  <Lines>92</Lines>
  <Paragraphs>83</Paragraphs>
  <ScaleCrop>false</ScaleCrop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Geyer | IFM</dc:creator>
  <cp:keywords/>
  <dc:description/>
  <cp:lastModifiedBy>Clayton Geyer | IFM</cp:lastModifiedBy>
  <cp:revision>2</cp:revision>
  <dcterms:created xsi:type="dcterms:W3CDTF">2026-02-05T19:15:00Z</dcterms:created>
  <dcterms:modified xsi:type="dcterms:W3CDTF">2026-02-05T19:26:00Z</dcterms:modified>
</cp:coreProperties>
</file>