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12A57" w14:textId="77777777" w:rsidR="00425A4F" w:rsidRPr="00425A4F" w:rsidRDefault="00425A4F" w:rsidP="00425A4F">
      <w:pPr>
        <w:rPr>
          <w:b/>
          <w:bCs/>
        </w:rPr>
      </w:pPr>
      <w:r w:rsidRPr="00425A4F">
        <w:rPr>
          <w:b/>
          <w:bCs/>
        </w:rPr>
        <w:t>Logo Design Summary</w:t>
      </w:r>
    </w:p>
    <w:p w14:paraId="71422B70" w14:textId="77777777" w:rsidR="00425A4F" w:rsidRPr="00425A4F" w:rsidRDefault="00425A4F" w:rsidP="00425A4F">
      <w:r w:rsidRPr="00425A4F">
        <w:rPr>
          <w:b/>
          <w:bCs/>
        </w:rPr>
        <w:t>Tradeport East &amp; Tradeport West Industrial Parks</w:t>
      </w:r>
      <w:r w:rsidRPr="00425A4F">
        <w:br/>
        <w:t>Liberty County Development Authority</w:t>
      </w:r>
    </w:p>
    <w:p w14:paraId="12894DBE" w14:textId="77777777" w:rsidR="00425A4F" w:rsidRPr="00425A4F" w:rsidRDefault="00425A4F" w:rsidP="00425A4F">
      <w:pPr>
        <w:rPr>
          <w:b/>
          <w:bCs/>
        </w:rPr>
      </w:pPr>
      <w:r w:rsidRPr="00425A4F">
        <w:rPr>
          <w:b/>
          <w:bCs/>
        </w:rPr>
        <w:t>Project Overview</w:t>
      </w:r>
    </w:p>
    <w:p w14:paraId="387834C9" w14:textId="77777777" w:rsidR="00425A4F" w:rsidRPr="00425A4F" w:rsidRDefault="00425A4F" w:rsidP="00425A4F">
      <w:r w:rsidRPr="00425A4F">
        <w:t>The Liberty County Development Authority (LCDA) is seeking logo concepts for two sister industrial parks—Tradeport East and Tradeport West—located in Liberty County, Georgia. While each park serves a distinct industrial purpose, the logos should be visually related and complementary, clearly communicating that both parks are part of the same family and under common ownership by the Liberty County Development Authority.</w:t>
      </w:r>
    </w:p>
    <w:p w14:paraId="768DD6C9" w14:textId="77777777" w:rsidR="00425A4F" w:rsidRPr="00425A4F" w:rsidRDefault="00425A4F" w:rsidP="00425A4F">
      <w:r w:rsidRPr="00425A4F">
        <w:t>The logos may be used independently or together and should function well across print, digital, signage, and marketing applications.</w:t>
      </w:r>
    </w:p>
    <w:p w14:paraId="3A75E012" w14:textId="77777777" w:rsidR="00425A4F" w:rsidRPr="00425A4F" w:rsidRDefault="00425A4F" w:rsidP="00425A4F">
      <w:pPr>
        <w:rPr>
          <w:b/>
          <w:bCs/>
        </w:rPr>
      </w:pPr>
      <w:r w:rsidRPr="00425A4F">
        <w:rPr>
          <w:b/>
          <w:bCs/>
        </w:rPr>
        <w:t>Park Profiles</w:t>
      </w:r>
    </w:p>
    <w:p w14:paraId="5721E08A" w14:textId="77777777" w:rsidR="00425A4F" w:rsidRPr="00425A4F" w:rsidRDefault="00425A4F" w:rsidP="00425A4F">
      <w:r w:rsidRPr="00425A4F">
        <w:t>Tradeport East</w:t>
      </w:r>
    </w:p>
    <w:p w14:paraId="49AFEB58" w14:textId="77777777" w:rsidR="00425A4F" w:rsidRPr="00425A4F" w:rsidRDefault="00425A4F" w:rsidP="00425A4F">
      <w:pPr>
        <w:numPr>
          <w:ilvl w:val="0"/>
          <w:numId w:val="8"/>
        </w:numPr>
      </w:pPr>
      <w:r w:rsidRPr="00425A4F">
        <w:t>Primary focus: Light manufacturing, logistics, and distribution</w:t>
      </w:r>
    </w:p>
    <w:p w14:paraId="7CE4674E" w14:textId="77777777" w:rsidR="00425A4F" w:rsidRPr="00425A4F" w:rsidRDefault="00425A4F" w:rsidP="00425A4F">
      <w:pPr>
        <w:numPr>
          <w:ilvl w:val="0"/>
          <w:numId w:val="8"/>
        </w:numPr>
      </w:pPr>
      <w:r w:rsidRPr="00425A4F">
        <w:t>Emphasis on efficiency, speed, connectivity, and scalability</w:t>
      </w:r>
    </w:p>
    <w:p w14:paraId="615C2175" w14:textId="77777777" w:rsidR="00425A4F" w:rsidRPr="00425A4F" w:rsidRDefault="00425A4F" w:rsidP="00425A4F">
      <w:pPr>
        <w:numPr>
          <w:ilvl w:val="0"/>
          <w:numId w:val="8"/>
        </w:numPr>
      </w:pPr>
      <w:r w:rsidRPr="00425A4F">
        <w:t>Users may include distribution centers, assembly operations, and value-added logistics</w:t>
      </w:r>
    </w:p>
    <w:p w14:paraId="267C64BD" w14:textId="77777777" w:rsidR="00425A4F" w:rsidRPr="00425A4F" w:rsidRDefault="00425A4F" w:rsidP="00425A4F">
      <w:r w:rsidRPr="00425A4F">
        <w:t>Tradeport West</w:t>
      </w:r>
    </w:p>
    <w:p w14:paraId="0D317B55" w14:textId="77777777" w:rsidR="00425A4F" w:rsidRPr="00425A4F" w:rsidRDefault="00425A4F" w:rsidP="00425A4F">
      <w:pPr>
        <w:numPr>
          <w:ilvl w:val="0"/>
          <w:numId w:val="9"/>
        </w:numPr>
      </w:pPr>
      <w:r w:rsidRPr="00425A4F">
        <w:t>Primary focus: Heavier industrial and manufacturing operations</w:t>
      </w:r>
    </w:p>
    <w:p w14:paraId="3E552919" w14:textId="77777777" w:rsidR="00425A4F" w:rsidRPr="00425A4F" w:rsidRDefault="00425A4F" w:rsidP="00425A4F">
      <w:pPr>
        <w:numPr>
          <w:ilvl w:val="0"/>
          <w:numId w:val="9"/>
        </w:numPr>
      </w:pPr>
      <w:r w:rsidRPr="00425A4F">
        <w:t>Emphasis on strength, capacity, durability, and long-term investment</w:t>
      </w:r>
    </w:p>
    <w:p w14:paraId="641666EB" w14:textId="77777777" w:rsidR="00425A4F" w:rsidRPr="00425A4F" w:rsidRDefault="00425A4F" w:rsidP="00425A4F">
      <w:pPr>
        <w:numPr>
          <w:ilvl w:val="0"/>
          <w:numId w:val="9"/>
        </w:numPr>
      </w:pPr>
      <w:r w:rsidRPr="00425A4F">
        <w:t>Users may include advanced manufacturing, industrial processing, and larger-footprint operations</w:t>
      </w:r>
    </w:p>
    <w:p w14:paraId="4A77201C" w14:textId="77777777" w:rsidR="00425A4F" w:rsidRPr="00425A4F" w:rsidRDefault="00425A4F" w:rsidP="00425A4F">
      <w:r w:rsidRPr="00425A4F">
        <w:t>Relationship Between the Logos</w:t>
      </w:r>
    </w:p>
    <w:p w14:paraId="5717AABC" w14:textId="77777777" w:rsidR="00425A4F" w:rsidRPr="00425A4F" w:rsidRDefault="00425A4F" w:rsidP="00425A4F">
      <w:pPr>
        <w:numPr>
          <w:ilvl w:val="0"/>
          <w:numId w:val="10"/>
        </w:numPr>
      </w:pPr>
      <w:r w:rsidRPr="00425A4F">
        <w:t>The logos must clearly relate to one another and feel like a matched set</w:t>
      </w:r>
    </w:p>
    <w:p w14:paraId="41FDE2F6" w14:textId="77777777" w:rsidR="00425A4F" w:rsidRPr="00425A4F" w:rsidRDefault="00425A4F" w:rsidP="00425A4F">
      <w:pPr>
        <w:numPr>
          <w:ilvl w:val="0"/>
          <w:numId w:val="10"/>
        </w:numPr>
      </w:pPr>
      <w:r w:rsidRPr="00425A4F">
        <w:t>They should share common design elements such as:</w:t>
      </w:r>
    </w:p>
    <w:p w14:paraId="43F8CA17" w14:textId="77777777" w:rsidR="00425A4F" w:rsidRPr="00425A4F" w:rsidRDefault="00425A4F" w:rsidP="00425A4F">
      <w:pPr>
        <w:numPr>
          <w:ilvl w:val="1"/>
          <w:numId w:val="10"/>
        </w:numPr>
      </w:pPr>
      <w:r w:rsidRPr="00425A4F">
        <w:t>Typeface family</w:t>
      </w:r>
    </w:p>
    <w:p w14:paraId="3A6D9C36" w14:textId="77777777" w:rsidR="00425A4F" w:rsidRPr="00425A4F" w:rsidRDefault="00425A4F" w:rsidP="00425A4F">
      <w:pPr>
        <w:numPr>
          <w:ilvl w:val="1"/>
          <w:numId w:val="10"/>
        </w:numPr>
      </w:pPr>
      <w:r w:rsidRPr="00425A4F">
        <w:t>Color palette or tonal system</w:t>
      </w:r>
    </w:p>
    <w:p w14:paraId="1A0EA4E0" w14:textId="77777777" w:rsidR="00425A4F" w:rsidRPr="00425A4F" w:rsidRDefault="00425A4F" w:rsidP="00425A4F">
      <w:pPr>
        <w:numPr>
          <w:ilvl w:val="1"/>
          <w:numId w:val="10"/>
        </w:numPr>
      </w:pPr>
      <w:r w:rsidRPr="00425A4F">
        <w:t>Graphic motifs or structural geometry</w:t>
      </w:r>
    </w:p>
    <w:p w14:paraId="3ED7F65F" w14:textId="77777777" w:rsidR="00425A4F" w:rsidRPr="00425A4F" w:rsidRDefault="00425A4F" w:rsidP="00425A4F">
      <w:pPr>
        <w:numPr>
          <w:ilvl w:val="0"/>
          <w:numId w:val="10"/>
        </w:numPr>
      </w:pPr>
      <w:r w:rsidRPr="00425A4F">
        <w:lastRenderedPageBreak/>
        <w:t>While related, each logo should maintain a distinct identity that reflects the character and use of each park (East = lighter, faster; West = heavier, more robust)</w:t>
      </w:r>
    </w:p>
    <w:p w14:paraId="7E1381E9" w14:textId="77777777" w:rsidR="00425A4F" w:rsidRPr="00425A4F" w:rsidRDefault="00425A4F" w:rsidP="00425A4F">
      <w:pPr>
        <w:rPr>
          <w:b/>
          <w:bCs/>
        </w:rPr>
      </w:pPr>
      <w:r w:rsidRPr="00425A4F">
        <w:rPr>
          <w:b/>
          <w:bCs/>
        </w:rPr>
        <w:t>Geographic &amp; Strategic Context</w:t>
      </w:r>
    </w:p>
    <w:p w14:paraId="4D6BBAF5" w14:textId="77777777" w:rsidR="00425A4F" w:rsidRPr="00425A4F" w:rsidRDefault="00425A4F" w:rsidP="00425A4F">
      <w:r w:rsidRPr="00425A4F">
        <w:t>Both Tradeport East and Tradeport West are strategically located in the southeastern coastal region of Georgia, USA, positioned between two major deepwater ports:</w:t>
      </w:r>
    </w:p>
    <w:p w14:paraId="38F037D3" w14:textId="77777777" w:rsidR="00425A4F" w:rsidRPr="00425A4F" w:rsidRDefault="00425A4F" w:rsidP="00425A4F">
      <w:pPr>
        <w:numPr>
          <w:ilvl w:val="0"/>
          <w:numId w:val="11"/>
        </w:numPr>
      </w:pPr>
      <w:r w:rsidRPr="00425A4F">
        <w:t>Port of Savannah</w:t>
      </w:r>
    </w:p>
    <w:p w14:paraId="729A65ED" w14:textId="77777777" w:rsidR="00425A4F" w:rsidRPr="00425A4F" w:rsidRDefault="00425A4F" w:rsidP="00425A4F">
      <w:pPr>
        <w:numPr>
          <w:ilvl w:val="0"/>
          <w:numId w:val="11"/>
        </w:numPr>
      </w:pPr>
      <w:r w:rsidRPr="00425A4F">
        <w:t>Port of Brunswick</w:t>
      </w:r>
    </w:p>
    <w:p w14:paraId="284531DB" w14:textId="77777777" w:rsidR="00425A4F" w:rsidRPr="00425A4F" w:rsidRDefault="00425A4F" w:rsidP="00425A4F">
      <w:r w:rsidRPr="00425A4F">
        <w:t>This location provides tenants with direct access to global markets, strong transportation infrastructure, and a reliable workforce. The logos should subtly convey:</w:t>
      </w:r>
    </w:p>
    <w:p w14:paraId="019662AC" w14:textId="77777777" w:rsidR="00425A4F" w:rsidRPr="00425A4F" w:rsidRDefault="00425A4F" w:rsidP="00425A4F">
      <w:pPr>
        <w:numPr>
          <w:ilvl w:val="0"/>
          <w:numId w:val="12"/>
        </w:numPr>
      </w:pPr>
      <w:r w:rsidRPr="00425A4F">
        <w:t>Connectivity and access</w:t>
      </w:r>
    </w:p>
    <w:p w14:paraId="0154183C" w14:textId="77777777" w:rsidR="00425A4F" w:rsidRPr="00425A4F" w:rsidRDefault="00425A4F" w:rsidP="00425A4F">
      <w:pPr>
        <w:numPr>
          <w:ilvl w:val="0"/>
          <w:numId w:val="12"/>
        </w:numPr>
      </w:pPr>
      <w:r w:rsidRPr="00425A4F">
        <w:t>Movement of goods</w:t>
      </w:r>
    </w:p>
    <w:p w14:paraId="12326EAC" w14:textId="77777777" w:rsidR="00425A4F" w:rsidRPr="00425A4F" w:rsidRDefault="00425A4F" w:rsidP="00425A4F">
      <w:pPr>
        <w:numPr>
          <w:ilvl w:val="0"/>
          <w:numId w:val="12"/>
        </w:numPr>
      </w:pPr>
      <w:r w:rsidRPr="00425A4F">
        <w:t xml:space="preserve">Global </w:t>
      </w:r>
      <w:proofErr w:type="gramStart"/>
      <w:r w:rsidRPr="00425A4F">
        <w:t>reach</w:t>
      </w:r>
      <w:proofErr w:type="gramEnd"/>
    </w:p>
    <w:p w14:paraId="33CC764A" w14:textId="77777777" w:rsidR="00425A4F" w:rsidRPr="00425A4F" w:rsidRDefault="00425A4F" w:rsidP="00425A4F">
      <w:pPr>
        <w:numPr>
          <w:ilvl w:val="0"/>
          <w:numId w:val="12"/>
        </w:numPr>
      </w:pPr>
      <w:r w:rsidRPr="00425A4F">
        <w:t>Strategic positioning</w:t>
      </w:r>
    </w:p>
    <w:p w14:paraId="45E2D01C" w14:textId="77777777" w:rsidR="00425A4F" w:rsidRPr="00425A4F" w:rsidRDefault="00425A4F" w:rsidP="00425A4F">
      <w:pPr>
        <w:rPr>
          <w:b/>
          <w:bCs/>
        </w:rPr>
      </w:pPr>
      <w:r w:rsidRPr="00425A4F">
        <w:rPr>
          <w:b/>
          <w:bCs/>
        </w:rPr>
        <w:t>Design Considerations</w:t>
      </w:r>
    </w:p>
    <w:p w14:paraId="29568E7D" w14:textId="77777777" w:rsidR="00425A4F" w:rsidRPr="00425A4F" w:rsidRDefault="00425A4F" w:rsidP="00425A4F">
      <w:r w:rsidRPr="00425A4F">
        <w:t>Designs should be:</w:t>
      </w:r>
    </w:p>
    <w:p w14:paraId="78A51824" w14:textId="77777777" w:rsidR="00425A4F" w:rsidRPr="00425A4F" w:rsidRDefault="00425A4F" w:rsidP="00425A4F">
      <w:pPr>
        <w:numPr>
          <w:ilvl w:val="0"/>
          <w:numId w:val="13"/>
        </w:numPr>
      </w:pPr>
      <w:r w:rsidRPr="00425A4F">
        <w:t>Professional, modern, and market-facing</w:t>
      </w:r>
    </w:p>
    <w:p w14:paraId="709C08E6" w14:textId="77777777" w:rsidR="00425A4F" w:rsidRPr="00425A4F" w:rsidRDefault="00425A4F" w:rsidP="00425A4F">
      <w:pPr>
        <w:numPr>
          <w:ilvl w:val="0"/>
          <w:numId w:val="13"/>
        </w:numPr>
      </w:pPr>
      <w:r w:rsidRPr="00425A4F">
        <w:t>Appropriate for industrial and site-selection audiences</w:t>
      </w:r>
    </w:p>
    <w:p w14:paraId="2D0E4815" w14:textId="77777777" w:rsidR="00425A4F" w:rsidRPr="00425A4F" w:rsidRDefault="00425A4F" w:rsidP="00425A4F">
      <w:pPr>
        <w:numPr>
          <w:ilvl w:val="0"/>
          <w:numId w:val="13"/>
        </w:numPr>
      </w:pPr>
      <w:r w:rsidRPr="00425A4F">
        <w:t>Scalable and legible at multiple sizes</w:t>
      </w:r>
    </w:p>
    <w:p w14:paraId="17F01018" w14:textId="77777777" w:rsidR="00425A4F" w:rsidRPr="00425A4F" w:rsidRDefault="00425A4F" w:rsidP="00425A4F">
      <w:pPr>
        <w:numPr>
          <w:ilvl w:val="0"/>
          <w:numId w:val="13"/>
        </w:numPr>
      </w:pPr>
      <w:r w:rsidRPr="00425A4F">
        <w:t>Effective in both color and black-and-white applications</w:t>
      </w:r>
    </w:p>
    <w:p w14:paraId="6FA6209D" w14:textId="77777777" w:rsidR="00425A4F" w:rsidRPr="00425A4F" w:rsidRDefault="00425A4F" w:rsidP="00425A4F">
      <w:r w:rsidRPr="00425A4F">
        <w:t>Avoid overly literal imagery. Abstract or symbolic representations of movement, strength, connectivity, or coastal/transportation influence are encouraged.</w:t>
      </w:r>
    </w:p>
    <w:p w14:paraId="533E1434" w14:textId="77777777" w:rsidR="00425A4F" w:rsidRPr="00425A4F" w:rsidRDefault="00425A4F" w:rsidP="00425A4F">
      <w:r w:rsidRPr="00425A4F">
        <w:t>Tone &amp; Impression</w:t>
      </w:r>
    </w:p>
    <w:p w14:paraId="0F9A01C2" w14:textId="77777777" w:rsidR="00425A4F" w:rsidRPr="00425A4F" w:rsidRDefault="00425A4F" w:rsidP="00425A4F">
      <w:pPr>
        <w:numPr>
          <w:ilvl w:val="0"/>
          <w:numId w:val="14"/>
        </w:numPr>
      </w:pPr>
      <w:r w:rsidRPr="00425A4F">
        <w:t xml:space="preserve">Tradeport East: efficient, agile, connected, </w:t>
      </w:r>
      <w:proofErr w:type="gramStart"/>
      <w:r w:rsidRPr="00425A4F">
        <w:t>forward-moving</w:t>
      </w:r>
      <w:proofErr w:type="gramEnd"/>
    </w:p>
    <w:p w14:paraId="2242346A" w14:textId="77777777" w:rsidR="00425A4F" w:rsidRPr="00425A4F" w:rsidRDefault="00425A4F" w:rsidP="00425A4F">
      <w:pPr>
        <w:numPr>
          <w:ilvl w:val="0"/>
          <w:numId w:val="14"/>
        </w:numPr>
      </w:pPr>
      <w:r w:rsidRPr="00425A4F">
        <w:t>Tradeport West: strong, industrial, dependable, long-term</w:t>
      </w:r>
    </w:p>
    <w:p w14:paraId="45ACFEF6" w14:textId="46271DFD" w:rsidR="00425A4F" w:rsidRPr="00425A4F" w:rsidRDefault="00425A4F" w:rsidP="00425A4F">
      <w:pPr>
        <w:numPr>
          <w:ilvl w:val="0"/>
          <w:numId w:val="14"/>
        </w:numPr>
      </w:pPr>
      <w:r w:rsidRPr="00425A4F">
        <w:t>Overall brand family: credible, strategic, competitive, and investment-ready</w:t>
      </w:r>
    </w:p>
    <w:p w14:paraId="58C27CFB" w14:textId="18BE0B38" w:rsidR="00425A4F" w:rsidRPr="00425A4F" w:rsidRDefault="00425A4F" w:rsidP="00425A4F">
      <w:pPr>
        <w:rPr>
          <w:b/>
          <w:bCs/>
        </w:rPr>
      </w:pPr>
      <w:r w:rsidRPr="00425A4F">
        <w:rPr>
          <w:b/>
          <w:bCs/>
        </w:rPr>
        <w:t>Color Palette Guidance</w:t>
      </w:r>
    </w:p>
    <w:p w14:paraId="38419F92" w14:textId="77777777" w:rsidR="00425A4F" w:rsidRPr="00425A4F" w:rsidRDefault="00425A4F" w:rsidP="00425A4F">
      <w:r w:rsidRPr="00425A4F">
        <w:lastRenderedPageBreak/>
        <w:t>The color palette should convey strength, durability, reliability, and industrial credibility, while remaining modern and market-facing. Colors should feel grounded and purposeful, drawing inspiration from infrastructure, manufacturing, transportation, and the coastal industrial landscape of Southeast Georgia.</w:t>
      </w:r>
    </w:p>
    <w:p w14:paraId="48937D94" w14:textId="77777777" w:rsidR="00425A4F" w:rsidRPr="00425A4F" w:rsidRDefault="00425A4F" w:rsidP="00425A4F">
      <w:r w:rsidRPr="00425A4F">
        <w:t>Primary Color Families</w:t>
      </w:r>
    </w:p>
    <w:p w14:paraId="5D4572ED" w14:textId="77777777" w:rsidR="00425A4F" w:rsidRPr="00425A4F" w:rsidRDefault="00425A4F" w:rsidP="00425A4F">
      <w:pPr>
        <w:numPr>
          <w:ilvl w:val="0"/>
          <w:numId w:val="1"/>
        </w:numPr>
      </w:pPr>
      <w:r w:rsidRPr="00425A4F">
        <w:t>Deep Navy / Maritime Blue – conveys stability, trust, and connection to ports and global trade</w:t>
      </w:r>
    </w:p>
    <w:p w14:paraId="4C56D7F9" w14:textId="77777777" w:rsidR="00425A4F" w:rsidRPr="00425A4F" w:rsidRDefault="00425A4F" w:rsidP="00425A4F">
      <w:pPr>
        <w:numPr>
          <w:ilvl w:val="0"/>
          <w:numId w:val="1"/>
        </w:numPr>
      </w:pPr>
      <w:r w:rsidRPr="00425A4F">
        <w:t>Steel Gray / Charcoal – reflects durability, infrastructure, and heavy industry</w:t>
      </w:r>
    </w:p>
    <w:p w14:paraId="3AA8382F" w14:textId="77777777" w:rsidR="00425A4F" w:rsidRPr="00425A4F" w:rsidRDefault="00425A4F" w:rsidP="00425A4F">
      <w:pPr>
        <w:numPr>
          <w:ilvl w:val="0"/>
          <w:numId w:val="1"/>
        </w:numPr>
      </w:pPr>
      <w:r w:rsidRPr="00425A4F">
        <w:t>Industrial Black – communicates strength, permanence, and authority</w:t>
      </w:r>
    </w:p>
    <w:p w14:paraId="62803CE9" w14:textId="77777777" w:rsidR="00425A4F" w:rsidRPr="00425A4F" w:rsidRDefault="00425A4F" w:rsidP="00425A4F">
      <w:r w:rsidRPr="00425A4F">
        <w:t>Secondary / Accent Colors (Use Sparingly)</w:t>
      </w:r>
    </w:p>
    <w:p w14:paraId="6CADAEAD" w14:textId="77777777" w:rsidR="00425A4F" w:rsidRPr="00425A4F" w:rsidRDefault="00425A4F" w:rsidP="00425A4F">
      <w:pPr>
        <w:numPr>
          <w:ilvl w:val="0"/>
          <w:numId w:val="2"/>
        </w:numPr>
      </w:pPr>
      <w:r w:rsidRPr="00425A4F">
        <w:t>Muted Metallics (steel, iron, brushed silver tones) – suggest machinery, logistics, and manufacturing</w:t>
      </w:r>
    </w:p>
    <w:p w14:paraId="5E132299" w14:textId="77777777" w:rsidR="00425A4F" w:rsidRPr="00425A4F" w:rsidRDefault="00425A4F" w:rsidP="00425A4F">
      <w:pPr>
        <w:numPr>
          <w:ilvl w:val="0"/>
          <w:numId w:val="2"/>
        </w:numPr>
      </w:pPr>
      <w:r w:rsidRPr="00425A4F">
        <w:t>Deep Green or Forest Green – nods to land, workforce, and industrial longevity</w:t>
      </w:r>
    </w:p>
    <w:p w14:paraId="1F233C3F" w14:textId="77777777" w:rsidR="00425A4F" w:rsidRPr="00425A4F" w:rsidRDefault="00425A4F" w:rsidP="00425A4F">
      <w:pPr>
        <w:numPr>
          <w:ilvl w:val="0"/>
          <w:numId w:val="2"/>
        </w:numPr>
      </w:pPr>
      <w:r w:rsidRPr="00425A4F">
        <w:t>Subtle Coastal Teal or Slate Blue – acceptable as a restrained accent to reference location, not tourism</w:t>
      </w:r>
    </w:p>
    <w:p w14:paraId="25CB0F9C" w14:textId="77777777" w:rsidR="00425A4F" w:rsidRPr="00425A4F" w:rsidRDefault="00425A4F" w:rsidP="00425A4F">
      <w:r w:rsidRPr="00425A4F">
        <w:t>Bright, pastel, or high-saturation colors should be avoided. The overall palette should remain restrained and professional, suitable for industrial signage and corporate marketing.</w:t>
      </w:r>
    </w:p>
    <w:p w14:paraId="7A229B86" w14:textId="77777777" w:rsidR="00425A4F" w:rsidRPr="00425A4F" w:rsidRDefault="00425A4F" w:rsidP="00425A4F">
      <w:r w:rsidRPr="00425A4F">
        <w:t>Style &amp; Visual Language</w:t>
      </w:r>
    </w:p>
    <w:p w14:paraId="1CB56B4D" w14:textId="77777777" w:rsidR="00425A4F" w:rsidRPr="00425A4F" w:rsidRDefault="00425A4F" w:rsidP="00425A4F">
      <w:r w:rsidRPr="00425A4F">
        <w:t>The visual style should feel bold, grounded, and intentional, reinforcing long-term investment and operational strength.</w:t>
      </w:r>
    </w:p>
    <w:p w14:paraId="76E23A1E" w14:textId="77777777" w:rsidR="00425A4F" w:rsidRPr="00425A4F" w:rsidRDefault="00425A4F" w:rsidP="00425A4F">
      <w:r w:rsidRPr="00425A4F">
        <w:t>Typography</w:t>
      </w:r>
    </w:p>
    <w:p w14:paraId="5FDC863C" w14:textId="77777777" w:rsidR="00425A4F" w:rsidRPr="00425A4F" w:rsidRDefault="00425A4F" w:rsidP="00425A4F">
      <w:pPr>
        <w:numPr>
          <w:ilvl w:val="0"/>
          <w:numId w:val="3"/>
        </w:numPr>
      </w:pPr>
      <w:r w:rsidRPr="00425A4F">
        <w:t>Strong, clean sans-serif typefaces or industrial-inspired fonts</w:t>
      </w:r>
    </w:p>
    <w:p w14:paraId="2A169705" w14:textId="77777777" w:rsidR="00425A4F" w:rsidRPr="00425A4F" w:rsidRDefault="00425A4F" w:rsidP="00425A4F">
      <w:pPr>
        <w:numPr>
          <w:ilvl w:val="0"/>
          <w:numId w:val="3"/>
        </w:numPr>
      </w:pPr>
      <w:r w:rsidRPr="00425A4F">
        <w:t>Prefer heavier weights and confident letterforms</w:t>
      </w:r>
    </w:p>
    <w:p w14:paraId="3FAC71E2" w14:textId="77777777" w:rsidR="00425A4F" w:rsidRPr="00425A4F" w:rsidRDefault="00425A4F" w:rsidP="00425A4F">
      <w:pPr>
        <w:numPr>
          <w:ilvl w:val="0"/>
          <w:numId w:val="3"/>
        </w:numPr>
      </w:pPr>
      <w:r w:rsidRPr="00425A4F">
        <w:t>Avoid decorative, script, or playful typefaces</w:t>
      </w:r>
    </w:p>
    <w:p w14:paraId="5599C77D" w14:textId="77777777" w:rsidR="00425A4F" w:rsidRPr="00425A4F" w:rsidRDefault="00425A4F" w:rsidP="00425A4F">
      <w:r w:rsidRPr="00425A4F">
        <w:t>Iconography &amp; Forms</w:t>
      </w:r>
    </w:p>
    <w:p w14:paraId="0786DED4" w14:textId="77777777" w:rsidR="00425A4F" w:rsidRPr="00425A4F" w:rsidRDefault="00425A4F" w:rsidP="00425A4F">
      <w:pPr>
        <w:numPr>
          <w:ilvl w:val="0"/>
          <w:numId w:val="4"/>
        </w:numPr>
      </w:pPr>
      <w:r w:rsidRPr="00425A4F">
        <w:t>Use simple, geometric shapes and strong lines</w:t>
      </w:r>
    </w:p>
    <w:p w14:paraId="5C1F2B61" w14:textId="77777777" w:rsidR="00425A4F" w:rsidRPr="00425A4F" w:rsidRDefault="00425A4F" w:rsidP="00425A4F">
      <w:pPr>
        <w:numPr>
          <w:ilvl w:val="0"/>
          <w:numId w:val="4"/>
        </w:numPr>
      </w:pPr>
      <w:r w:rsidRPr="00425A4F">
        <w:t>Forms may be horizontal or linear to suggest movement, logistics, and flow</w:t>
      </w:r>
    </w:p>
    <w:p w14:paraId="32D00334" w14:textId="77777777" w:rsidR="00425A4F" w:rsidRPr="00425A4F" w:rsidRDefault="00425A4F" w:rsidP="00425A4F">
      <w:pPr>
        <w:numPr>
          <w:ilvl w:val="0"/>
          <w:numId w:val="4"/>
        </w:numPr>
      </w:pPr>
      <w:r w:rsidRPr="00425A4F">
        <w:lastRenderedPageBreak/>
        <w:t>Subtle references to infrastructure (corridors, grids, pathways, connections) are encouraged</w:t>
      </w:r>
    </w:p>
    <w:p w14:paraId="7117A8FF" w14:textId="77777777" w:rsidR="00425A4F" w:rsidRPr="00425A4F" w:rsidRDefault="00425A4F" w:rsidP="00425A4F">
      <w:pPr>
        <w:numPr>
          <w:ilvl w:val="0"/>
          <w:numId w:val="4"/>
        </w:numPr>
      </w:pPr>
      <w:r w:rsidRPr="00425A4F">
        <w:t>Avoid literal icons (trucks, ships, cranes) unless highly abstracted</w:t>
      </w:r>
    </w:p>
    <w:p w14:paraId="33BB26F0" w14:textId="77777777" w:rsidR="00425A4F" w:rsidRPr="00425A4F" w:rsidRDefault="00425A4F" w:rsidP="00425A4F">
      <w:pPr>
        <w:rPr>
          <w:b/>
          <w:bCs/>
        </w:rPr>
      </w:pPr>
      <w:proofErr w:type="gramStart"/>
      <w:r w:rsidRPr="00425A4F">
        <w:rPr>
          <w:b/>
          <w:bCs/>
        </w:rPr>
        <w:t>Overall</w:t>
      </w:r>
      <w:proofErr w:type="gramEnd"/>
      <w:r w:rsidRPr="00425A4F">
        <w:rPr>
          <w:b/>
          <w:bCs/>
        </w:rPr>
        <w:t xml:space="preserve"> Tone</w:t>
      </w:r>
    </w:p>
    <w:p w14:paraId="2DD19909" w14:textId="77777777" w:rsidR="00425A4F" w:rsidRPr="00425A4F" w:rsidRDefault="00425A4F" w:rsidP="00425A4F">
      <w:pPr>
        <w:numPr>
          <w:ilvl w:val="0"/>
          <w:numId w:val="5"/>
        </w:numPr>
      </w:pPr>
      <w:r w:rsidRPr="00425A4F">
        <w:t>Masculine but not aggressive</w:t>
      </w:r>
    </w:p>
    <w:p w14:paraId="5CE8AB8F" w14:textId="77777777" w:rsidR="00425A4F" w:rsidRPr="00425A4F" w:rsidRDefault="00425A4F" w:rsidP="00425A4F">
      <w:pPr>
        <w:numPr>
          <w:ilvl w:val="0"/>
          <w:numId w:val="5"/>
        </w:numPr>
      </w:pPr>
      <w:r w:rsidRPr="00425A4F">
        <w:t>Confident, disciplined, and engineered</w:t>
      </w:r>
    </w:p>
    <w:p w14:paraId="650A7D1D" w14:textId="77777777" w:rsidR="00425A4F" w:rsidRPr="00425A4F" w:rsidRDefault="00425A4F" w:rsidP="00425A4F">
      <w:pPr>
        <w:numPr>
          <w:ilvl w:val="0"/>
          <w:numId w:val="5"/>
        </w:numPr>
      </w:pPr>
      <w:r w:rsidRPr="00425A4F">
        <w:t>Nothing whimsical, playful, or ornamental</w:t>
      </w:r>
    </w:p>
    <w:p w14:paraId="5E6EBE84" w14:textId="77777777" w:rsidR="00425A4F" w:rsidRPr="00425A4F" w:rsidRDefault="00425A4F" w:rsidP="00425A4F">
      <w:r w:rsidRPr="00425A4F">
        <w:t>Differentiation Between East and West (Through Color &amp; Weight)</w:t>
      </w:r>
    </w:p>
    <w:p w14:paraId="598FA6E4" w14:textId="77777777" w:rsidR="00425A4F" w:rsidRPr="00425A4F" w:rsidRDefault="00425A4F" w:rsidP="00425A4F">
      <w:r w:rsidRPr="00425A4F">
        <w:t>While the logos must clearly relate:</w:t>
      </w:r>
    </w:p>
    <w:p w14:paraId="770269F8" w14:textId="77777777" w:rsidR="00425A4F" w:rsidRPr="00425A4F" w:rsidRDefault="00425A4F" w:rsidP="00425A4F">
      <w:pPr>
        <w:numPr>
          <w:ilvl w:val="0"/>
          <w:numId w:val="6"/>
        </w:numPr>
      </w:pPr>
      <w:r w:rsidRPr="00425A4F">
        <w:t>Tradeport East may lean slightly lighter within the shared palette (e.g., more navy or slate tones, cleaner line weights)</w:t>
      </w:r>
    </w:p>
    <w:p w14:paraId="32A83393" w14:textId="77777777" w:rsidR="00425A4F" w:rsidRPr="00425A4F" w:rsidRDefault="00425A4F" w:rsidP="00425A4F">
      <w:pPr>
        <w:numPr>
          <w:ilvl w:val="0"/>
          <w:numId w:val="6"/>
        </w:numPr>
      </w:pPr>
      <w:r w:rsidRPr="00425A4F">
        <w:t>Tradeport West may lean darker and heavier (e.g., deeper charcoal, black, or steel tones, bolder forms)</w:t>
      </w:r>
    </w:p>
    <w:p w14:paraId="79CF5834" w14:textId="77777777" w:rsidR="00425A4F" w:rsidRPr="00425A4F" w:rsidRDefault="00425A4F" w:rsidP="00425A4F">
      <w:r w:rsidRPr="00425A4F">
        <w:t>This allows differentiation without breaking brand cohesion.</w:t>
      </w:r>
    </w:p>
    <w:p w14:paraId="2277BFE0" w14:textId="77777777" w:rsidR="00425A4F" w:rsidRPr="00425A4F" w:rsidRDefault="00425A4F" w:rsidP="00425A4F">
      <w:r w:rsidRPr="00425A4F">
        <w:t>Application Considerations</w:t>
      </w:r>
    </w:p>
    <w:p w14:paraId="6708A6F3" w14:textId="77777777" w:rsidR="00425A4F" w:rsidRPr="00425A4F" w:rsidRDefault="00425A4F" w:rsidP="00425A4F">
      <w:r w:rsidRPr="00425A4F">
        <w:t>Logos should maintain impact and legibility across:</w:t>
      </w:r>
    </w:p>
    <w:p w14:paraId="51F9A96B" w14:textId="77777777" w:rsidR="00425A4F" w:rsidRPr="00425A4F" w:rsidRDefault="00425A4F" w:rsidP="00425A4F">
      <w:pPr>
        <w:numPr>
          <w:ilvl w:val="0"/>
          <w:numId w:val="7"/>
        </w:numPr>
      </w:pPr>
      <w:proofErr w:type="gramStart"/>
      <w:r w:rsidRPr="00425A4F">
        <w:t>Industrial park</w:t>
      </w:r>
      <w:proofErr w:type="gramEnd"/>
      <w:r w:rsidRPr="00425A4F">
        <w:t xml:space="preserve"> signage</w:t>
      </w:r>
    </w:p>
    <w:p w14:paraId="71E55259" w14:textId="77777777" w:rsidR="00425A4F" w:rsidRPr="00425A4F" w:rsidRDefault="00425A4F" w:rsidP="00425A4F">
      <w:pPr>
        <w:numPr>
          <w:ilvl w:val="0"/>
          <w:numId w:val="7"/>
        </w:numPr>
      </w:pPr>
      <w:r w:rsidRPr="00425A4F">
        <w:t>Site signage and wayfinding</w:t>
      </w:r>
    </w:p>
    <w:p w14:paraId="0595106E" w14:textId="77777777" w:rsidR="00425A4F" w:rsidRPr="00425A4F" w:rsidRDefault="00425A4F" w:rsidP="00425A4F">
      <w:pPr>
        <w:numPr>
          <w:ilvl w:val="0"/>
          <w:numId w:val="7"/>
        </w:numPr>
      </w:pPr>
      <w:r w:rsidRPr="00425A4F">
        <w:t>Print collateral and property brochures</w:t>
      </w:r>
    </w:p>
    <w:p w14:paraId="42A3F53F" w14:textId="77777777" w:rsidR="00425A4F" w:rsidRPr="00425A4F" w:rsidRDefault="00425A4F" w:rsidP="00425A4F">
      <w:pPr>
        <w:numPr>
          <w:ilvl w:val="0"/>
          <w:numId w:val="7"/>
        </w:numPr>
      </w:pPr>
      <w:r w:rsidRPr="00425A4F">
        <w:t>Digital platforms and presentations</w:t>
      </w:r>
    </w:p>
    <w:p w14:paraId="27044EF3" w14:textId="77777777" w:rsidR="00425A4F" w:rsidRPr="00425A4F" w:rsidRDefault="00425A4F" w:rsidP="00425A4F">
      <w:pPr>
        <w:numPr>
          <w:ilvl w:val="0"/>
          <w:numId w:val="7"/>
        </w:numPr>
      </w:pPr>
      <w:r w:rsidRPr="00425A4F">
        <w:t>Black-and-white and single-color applications</w:t>
      </w:r>
    </w:p>
    <w:p w14:paraId="6B558AAE" w14:textId="77777777" w:rsidR="00425A4F" w:rsidRPr="00425A4F" w:rsidRDefault="00425A4F" w:rsidP="00425A4F">
      <w:r w:rsidRPr="00425A4F">
        <w:t>Designs should feel just as strong on a highway monument sign as they do on a pitch deck.</w:t>
      </w:r>
    </w:p>
    <w:p w14:paraId="3081BDCE" w14:textId="77777777" w:rsidR="00425A4F" w:rsidRPr="00425A4F" w:rsidRDefault="00425A4F" w:rsidP="00425A4F">
      <w:pPr>
        <w:rPr>
          <w:b/>
          <w:bCs/>
        </w:rPr>
      </w:pPr>
      <w:r w:rsidRPr="00425A4F">
        <w:rPr>
          <w:b/>
          <w:bCs/>
        </w:rPr>
        <w:t>Ownership &amp; Use</w:t>
      </w:r>
    </w:p>
    <w:p w14:paraId="7C5B4294" w14:textId="77777777" w:rsidR="00425A4F" w:rsidRPr="00425A4F" w:rsidRDefault="00425A4F" w:rsidP="00425A4F">
      <w:r w:rsidRPr="00425A4F">
        <w:t>Both parks are owned and marketed by the Liberty County Development Authority. Logos should reinforce public-sector credibility while appealing to private-sector decision-makers, site selectors, and corporate leadership.</w:t>
      </w:r>
    </w:p>
    <w:p w14:paraId="5A9F68BB" w14:textId="77777777" w:rsidR="00425A4F" w:rsidRPr="00425A4F" w:rsidRDefault="00425A4F" w:rsidP="00425A4F"/>
    <w:p w14:paraId="4C80D7EF" w14:textId="77777777" w:rsidR="00402EEF" w:rsidRDefault="00402EEF"/>
    <w:sectPr w:rsidR="00402E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E54FA"/>
    <w:multiLevelType w:val="multilevel"/>
    <w:tmpl w:val="847E6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5C63FE"/>
    <w:multiLevelType w:val="multilevel"/>
    <w:tmpl w:val="98404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D83C9A"/>
    <w:multiLevelType w:val="multilevel"/>
    <w:tmpl w:val="4A48F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3729D3"/>
    <w:multiLevelType w:val="multilevel"/>
    <w:tmpl w:val="8642F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260E5"/>
    <w:multiLevelType w:val="multilevel"/>
    <w:tmpl w:val="0DD28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DF09B6"/>
    <w:multiLevelType w:val="multilevel"/>
    <w:tmpl w:val="9A309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563A01"/>
    <w:multiLevelType w:val="multilevel"/>
    <w:tmpl w:val="0BD2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2B73DD"/>
    <w:multiLevelType w:val="multilevel"/>
    <w:tmpl w:val="77F8C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384208"/>
    <w:multiLevelType w:val="multilevel"/>
    <w:tmpl w:val="EDD21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CE1901"/>
    <w:multiLevelType w:val="multilevel"/>
    <w:tmpl w:val="FFCAA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9652DC"/>
    <w:multiLevelType w:val="multilevel"/>
    <w:tmpl w:val="F55E9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642265"/>
    <w:multiLevelType w:val="multilevel"/>
    <w:tmpl w:val="61D45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884F10"/>
    <w:multiLevelType w:val="multilevel"/>
    <w:tmpl w:val="A80A1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353CED"/>
    <w:multiLevelType w:val="multilevel"/>
    <w:tmpl w:val="280A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9628005">
    <w:abstractNumId w:val="0"/>
  </w:num>
  <w:num w:numId="2" w16cid:durableId="558637834">
    <w:abstractNumId w:val="2"/>
  </w:num>
  <w:num w:numId="3" w16cid:durableId="735474019">
    <w:abstractNumId w:val="9"/>
  </w:num>
  <w:num w:numId="4" w16cid:durableId="309596903">
    <w:abstractNumId w:val="4"/>
  </w:num>
  <w:num w:numId="5" w16cid:durableId="1097677649">
    <w:abstractNumId w:val="10"/>
  </w:num>
  <w:num w:numId="6" w16cid:durableId="573441158">
    <w:abstractNumId w:val="7"/>
  </w:num>
  <w:num w:numId="7" w16cid:durableId="2126734591">
    <w:abstractNumId w:val="3"/>
  </w:num>
  <w:num w:numId="8" w16cid:durableId="1351296344">
    <w:abstractNumId w:val="12"/>
  </w:num>
  <w:num w:numId="9" w16cid:durableId="297879984">
    <w:abstractNumId w:val="8"/>
  </w:num>
  <w:num w:numId="10" w16cid:durableId="633291114">
    <w:abstractNumId w:val="1"/>
  </w:num>
  <w:num w:numId="11" w16cid:durableId="1200706133">
    <w:abstractNumId w:val="6"/>
  </w:num>
  <w:num w:numId="12" w16cid:durableId="172376104">
    <w:abstractNumId w:val="5"/>
  </w:num>
  <w:num w:numId="13" w16cid:durableId="1376351692">
    <w:abstractNumId w:val="13"/>
  </w:num>
  <w:num w:numId="14" w16cid:durableId="19077639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A4F"/>
    <w:rsid w:val="00402EEF"/>
    <w:rsid w:val="00425A4F"/>
    <w:rsid w:val="00516056"/>
    <w:rsid w:val="00562B85"/>
    <w:rsid w:val="008563C7"/>
    <w:rsid w:val="00B17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75BCF"/>
  <w15:chartTrackingRefBased/>
  <w15:docId w15:val="{0A0A82D4-49D9-46D2-9717-594ED00D8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5A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5A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5A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5A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5A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5A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5A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5A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5A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A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5A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5A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5A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5A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5A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5A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5A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5A4F"/>
    <w:rPr>
      <w:rFonts w:eastAsiaTheme="majorEastAsia" w:cstheme="majorBidi"/>
      <w:color w:val="272727" w:themeColor="text1" w:themeTint="D8"/>
    </w:rPr>
  </w:style>
  <w:style w:type="paragraph" w:styleId="Title">
    <w:name w:val="Title"/>
    <w:basedOn w:val="Normal"/>
    <w:next w:val="Normal"/>
    <w:link w:val="TitleChar"/>
    <w:uiPriority w:val="10"/>
    <w:qFormat/>
    <w:rsid w:val="00425A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5A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5A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5A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5A4F"/>
    <w:pPr>
      <w:spacing w:before="160"/>
      <w:jc w:val="center"/>
    </w:pPr>
    <w:rPr>
      <w:i/>
      <w:iCs/>
      <w:color w:val="404040" w:themeColor="text1" w:themeTint="BF"/>
    </w:rPr>
  </w:style>
  <w:style w:type="character" w:customStyle="1" w:styleId="QuoteChar">
    <w:name w:val="Quote Char"/>
    <w:basedOn w:val="DefaultParagraphFont"/>
    <w:link w:val="Quote"/>
    <w:uiPriority w:val="29"/>
    <w:rsid w:val="00425A4F"/>
    <w:rPr>
      <w:i/>
      <w:iCs/>
      <w:color w:val="404040" w:themeColor="text1" w:themeTint="BF"/>
    </w:rPr>
  </w:style>
  <w:style w:type="paragraph" w:styleId="ListParagraph">
    <w:name w:val="List Paragraph"/>
    <w:basedOn w:val="Normal"/>
    <w:uiPriority w:val="34"/>
    <w:qFormat/>
    <w:rsid w:val="00425A4F"/>
    <w:pPr>
      <w:ind w:left="720"/>
      <w:contextualSpacing/>
    </w:pPr>
  </w:style>
  <w:style w:type="character" w:styleId="IntenseEmphasis">
    <w:name w:val="Intense Emphasis"/>
    <w:basedOn w:val="DefaultParagraphFont"/>
    <w:uiPriority w:val="21"/>
    <w:qFormat/>
    <w:rsid w:val="00425A4F"/>
    <w:rPr>
      <w:i/>
      <w:iCs/>
      <w:color w:val="0F4761" w:themeColor="accent1" w:themeShade="BF"/>
    </w:rPr>
  </w:style>
  <w:style w:type="paragraph" w:styleId="IntenseQuote">
    <w:name w:val="Intense Quote"/>
    <w:basedOn w:val="Normal"/>
    <w:next w:val="Normal"/>
    <w:link w:val="IntenseQuoteChar"/>
    <w:uiPriority w:val="30"/>
    <w:qFormat/>
    <w:rsid w:val="00425A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5A4F"/>
    <w:rPr>
      <w:i/>
      <w:iCs/>
      <w:color w:val="0F4761" w:themeColor="accent1" w:themeShade="BF"/>
    </w:rPr>
  </w:style>
  <w:style w:type="character" w:styleId="IntenseReference">
    <w:name w:val="Intense Reference"/>
    <w:basedOn w:val="DefaultParagraphFont"/>
    <w:uiPriority w:val="32"/>
    <w:qFormat/>
    <w:rsid w:val="00425A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e45b374-5853-4a20-b0d8-42746a6e0601" xsi:nil="true"/>
    <lcf76f155ced4ddcb4097134ff3c332f xmlns="f9a9eeb6-fd9a-4087-8ae0-5fc02fb2de0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2D34C6CE069C47B248F6FA8CB8E820" ma:contentTypeVersion="14" ma:contentTypeDescription="Create a new document." ma:contentTypeScope="" ma:versionID="141bfcdae4a4a2199438f99709b85dee">
  <xsd:schema xmlns:xsd="http://www.w3.org/2001/XMLSchema" xmlns:xs="http://www.w3.org/2001/XMLSchema" xmlns:p="http://schemas.microsoft.com/office/2006/metadata/properties" xmlns:ns2="f9a9eeb6-fd9a-4087-8ae0-5fc02fb2de04" xmlns:ns3="2e45b374-5853-4a20-b0d8-42746a6e0601" targetNamespace="http://schemas.microsoft.com/office/2006/metadata/properties" ma:root="true" ma:fieldsID="d447a153c03bfb9abd314cdb225fc45d" ns2:_="" ns3:_="">
    <xsd:import namespace="f9a9eeb6-fd9a-4087-8ae0-5fc02fb2de04"/>
    <xsd:import namespace="2e45b374-5853-4a20-b0d8-42746a6e060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a9eeb6-fd9a-4087-8ae0-5fc02fb2de0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fffe8fa7-eaba-48de-bcab-3fe330b908bc"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45b374-5853-4a20-b0d8-42746a6e060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25b342f-ce28-452f-b617-ad2910e0b531}" ma:internalName="TaxCatchAll" ma:showField="CatchAllData" ma:web="2e45b374-5853-4a20-b0d8-42746a6e06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33C0FC-EDDE-40CA-81AC-5B68DE69FD61}">
  <ds:schemaRefs>
    <ds:schemaRef ds:uri="http://schemas.microsoft.com/office/2006/metadata/properties"/>
    <ds:schemaRef ds:uri="http://schemas.microsoft.com/office/infopath/2007/PartnerControls"/>
    <ds:schemaRef ds:uri="2e45b374-5853-4a20-b0d8-42746a6e0601"/>
    <ds:schemaRef ds:uri="f9a9eeb6-fd9a-4087-8ae0-5fc02fb2de04"/>
  </ds:schemaRefs>
</ds:datastoreItem>
</file>

<file path=customXml/itemProps2.xml><?xml version="1.0" encoding="utf-8"?>
<ds:datastoreItem xmlns:ds="http://schemas.openxmlformats.org/officeDocument/2006/customXml" ds:itemID="{2A1A30CE-BEC2-4DEF-82FB-6AB40E33A897}">
  <ds:schemaRefs>
    <ds:schemaRef ds:uri="http://schemas.microsoft.com/sharepoint/v3/contenttype/forms"/>
  </ds:schemaRefs>
</ds:datastoreItem>
</file>

<file path=customXml/itemProps3.xml><?xml version="1.0" encoding="utf-8"?>
<ds:datastoreItem xmlns:ds="http://schemas.openxmlformats.org/officeDocument/2006/customXml" ds:itemID="{058CED68-C249-4E65-8629-917E5CAF0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a9eeb6-fd9a-4087-8ae0-5fc02fb2de04"/>
    <ds:schemaRef ds:uri="2e45b374-5853-4a20-b0d8-42746a6e0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725</Words>
  <Characters>4780</Characters>
  <Application>Microsoft Office Word</Application>
  <DocSecurity>0</DocSecurity>
  <Lines>109</Lines>
  <Paragraphs>82</Paragraphs>
  <ScaleCrop>false</ScaleCrop>
  <Company/>
  <LinksUpToDate>false</LinksUpToDate>
  <CharactersWithSpaces>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Dye</dc:creator>
  <cp:keywords/>
  <dc:description/>
  <cp:lastModifiedBy>Katie Dye</cp:lastModifiedBy>
  <cp:revision>2</cp:revision>
  <dcterms:created xsi:type="dcterms:W3CDTF">2026-01-26T20:39:00Z</dcterms:created>
  <dcterms:modified xsi:type="dcterms:W3CDTF">2026-01-27T13:35:00Z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96db887a-4e2e-41b2-abd8-f279828bb927</vt:lpwstr>
  </property>
  <property fmtid="{D5CDD505-2E9C-101B-9397-08002B2CF9AE}" pid="3" name="ContentTypeId">
    <vt:lpwstr>0x010100502D34C6CE069C47B248F6FA8CB8E820</vt:lpwstr>
  </property>
  <property fmtid="{D5CDD505-2E9C-101B-9397-08002B2CF9AE}" pid="4" name="MediaServiceImageTags">
    <vt:lpwstr/>
  </property>
</Properties>
</file>