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94D24" w14:textId="24C9F3F4" w:rsidR="00C6648B" w:rsidRPr="00C26FEC" w:rsidRDefault="00741DB3" w:rsidP="00C26FEC">
      <w:pPr>
        <w:jc w:val="center"/>
      </w:pPr>
      <w:r w:rsidRPr="005245E5">
        <w:t>Infographic Design Information</w:t>
      </w:r>
      <w:r w:rsidR="00C26FEC">
        <w:br/>
      </w:r>
      <w:r w:rsidR="00C6648B" w:rsidRPr="005245E5">
        <w:rPr>
          <w:b w:val="0"/>
          <w:bCs w:val="0"/>
        </w:rPr>
        <w:t>For requests to submit to DesignCrowd</w:t>
      </w:r>
    </w:p>
    <w:tbl>
      <w:tblPr>
        <w:tblStyle w:val="TableGrid"/>
        <w:tblW w:w="14454" w:type="dxa"/>
        <w:tblLook w:val="04A0" w:firstRow="1" w:lastRow="0" w:firstColumn="1" w:lastColumn="0" w:noHBand="0" w:noVBand="1"/>
      </w:tblPr>
      <w:tblGrid>
        <w:gridCol w:w="3114"/>
        <w:gridCol w:w="11340"/>
      </w:tblGrid>
      <w:tr w:rsidR="00DF2375" w:rsidRPr="007F0E8A" w14:paraId="12E94C73" w14:textId="77777777" w:rsidTr="00DF2375">
        <w:tc>
          <w:tcPr>
            <w:tcW w:w="3114" w:type="dxa"/>
          </w:tcPr>
          <w:p w14:paraId="2C5A477E" w14:textId="5484942F" w:rsidR="00DF2375" w:rsidRPr="007F0E8A" w:rsidRDefault="00DF2375" w:rsidP="00741DB3">
            <w:pPr>
              <w:rPr>
                <w:b w:val="0"/>
                <w:bCs w:val="0"/>
              </w:rPr>
            </w:pPr>
            <w:r w:rsidRPr="00AF7393">
              <w:t>Study information</w:t>
            </w:r>
          </w:p>
        </w:tc>
        <w:tc>
          <w:tcPr>
            <w:tcW w:w="11340" w:type="dxa"/>
          </w:tcPr>
          <w:p w14:paraId="1E757289" w14:textId="3EC9AD8E" w:rsidR="00DF2375" w:rsidRPr="005245E5" w:rsidRDefault="00DF2375" w:rsidP="00741DB3">
            <w:r>
              <w:t>Answer</w:t>
            </w:r>
          </w:p>
        </w:tc>
      </w:tr>
      <w:tr w:rsidR="00DF2375" w:rsidRPr="007F0E8A" w14:paraId="2E9318BA" w14:textId="7856D22E" w:rsidTr="00DF2375">
        <w:tc>
          <w:tcPr>
            <w:tcW w:w="3114" w:type="dxa"/>
          </w:tcPr>
          <w:p w14:paraId="6F30C5CA" w14:textId="4153613D" w:rsidR="00DF2375" w:rsidRPr="007F0E8A" w:rsidRDefault="00DF2375" w:rsidP="00741DB3">
            <w:pPr>
              <w:rPr>
                <w:b w:val="0"/>
                <w:bCs w:val="0"/>
              </w:rPr>
            </w:pPr>
            <w:r w:rsidRPr="007F0E8A">
              <w:rPr>
                <w:b w:val="0"/>
                <w:bCs w:val="0"/>
              </w:rPr>
              <w:t>Study title</w:t>
            </w:r>
          </w:p>
        </w:tc>
        <w:tc>
          <w:tcPr>
            <w:tcW w:w="11340" w:type="dxa"/>
          </w:tcPr>
          <w:p w14:paraId="3D20CE32" w14:textId="2117F609" w:rsidR="00DF2375" w:rsidRPr="007F0E8A" w:rsidRDefault="00DF2375" w:rsidP="005B712C">
            <w:pPr>
              <w:tabs>
                <w:tab w:val="left" w:pos="1416"/>
              </w:tabs>
              <w:rPr>
                <w:b w:val="0"/>
                <w:bCs w:val="0"/>
              </w:rPr>
            </w:pPr>
            <w:r w:rsidRPr="005B712C">
              <w:rPr>
                <w:b w:val="0"/>
                <w:bCs w:val="0"/>
              </w:rPr>
              <w:t>Close Contact Casting vs Surgery for Initial Treatment of Unstable Ankle Fractures in Older Adults</w:t>
            </w:r>
            <w:r>
              <w:rPr>
                <w:b w:val="0"/>
                <w:bCs w:val="0"/>
              </w:rPr>
              <w:t xml:space="preserve">: </w:t>
            </w:r>
            <w:r w:rsidRPr="005B712C">
              <w:rPr>
                <w:b w:val="0"/>
                <w:bCs w:val="0"/>
              </w:rPr>
              <w:t>A Randomized Clinical Trial</w:t>
            </w:r>
          </w:p>
        </w:tc>
      </w:tr>
      <w:tr w:rsidR="00DF2375" w:rsidRPr="007F0E8A" w14:paraId="0927F00A" w14:textId="02420270" w:rsidTr="00DF2375">
        <w:tc>
          <w:tcPr>
            <w:tcW w:w="3114" w:type="dxa"/>
          </w:tcPr>
          <w:p w14:paraId="5C2852C3" w14:textId="0BA8E3DB" w:rsidR="00DF2375" w:rsidRPr="007F0E8A" w:rsidRDefault="00DF2375" w:rsidP="00741DB3">
            <w:pPr>
              <w:rPr>
                <w:b w:val="0"/>
                <w:bCs w:val="0"/>
              </w:rPr>
            </w:pPr>
            <w:r w:rsidRPr="007F0E8A">
              <w:rPr>
                <w:b w:val="0"/>
                <w:bCs w:val="0"/>
              </w:rPr>
              <w:t xml:space="preserve">Study acronym </w:t>
            </w:r>
          </w:p>
        </w:tc>
        <w:tc>
          <w:tcPr>
            <w:tcW w:w="11340" w:type="dxa"/>
          </w:tcPr>
          <w:p w14:paraId="11FBEFB7" w14:textId="3AADF38A" w:rsidR="00DF2375" w:rsidRPr="007F0E8A" w:rsidRDefault="00DF2375" w:rsidP="00741DB3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AIM</w:t>
            </w:r>
          </w:p>
        </w:tc>
      </w:tr>
      <w:tr w:rsidR="00DF2375" w:rsidRPr="007F0E8A" w14:paraId="75132A79" w14:textId="235A7E80" w:rsidTr="00DF2375">
        <w:tc>
          <w:tcPr>
            <w:tcW w:w="3114" w:type="dxa"/>
          </w:tcPr>
          <w:p w14:paraId="5C3057B8" w14:textId="0E1A2ABC" w:rsidR="00DF2375" w:rsidRPr="007F0E8A" w:rsidRDefault="00DF2375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Headline</w:t>
            </w:r>
          </w:p>
        </w:tc>
        <w:tc>
          <w:tcPr>
            <w:tcW w:w="11340" w:type="dxa"/>
          </w:tcPr>
          <w:p w14:paraId="45A20E80" w14:textId="4DEF9BBE" w:rsidR="00DF2375" w:rsidRPr="007F0E8A" w:rsidRDefault="00DF2375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Does</w:t>
            </w:r>
            <w:r w:rsidRPr="00CB5E21">
              <w:rPr>
                <w:b w:val="0"/>
                <w:bCs w:val="0"/>
              </w:rPr>
              <w:t xml:space="preserve"> using a close-contact cast work just as well </w:t>
            </w:r>
            <w:r>
              <w:rPr>
                <w:b w:val="0"/>
                <w:bCs w:val="0"/>
              </w:rPr>
              <w:t>to treat unstable ankle fractures</w:t>
            </w:r>
            <w:r w:rsidRPr="00CB5E21">
              <w:rPr>
                <w:b w:val="0"/>
                <w:bCs w:val="0"/>
              </w:rPr>
              <w:t xml:space="preserve"> as having surgery with internal fixation?</w:t>
            </w:r>
          </w:p>
        </w:tc>
      </w:tr>
      <w:tr w:rsidR="00DF2375" w:rsidRPr="007F0E8A" w14:paraId="3B408C39" w14:textId="48E55B98" w:rsidTr="00DF2375">
        <w:tc>
          <w:tcPr>
            <w:tcW w:w="3114" w:type="dxa"/>
          </w:tcPr>
          <w:p w14:paraId="7B516C53" w14:textId="5CABE732" w:rsidR="00DF2375" w:rsidRPr="007F0E8A" w:rsidRDefault="00DF2375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Study summary</w:t>
            </w:r>
          </w:p>
        </w:tc>
        <w:tc>
          <w:tcPr>
            <w:tcW w:w="11340" w:type="dxa"/>
          </w:tcPr>
          <w:p w14:paraId="525DF787" w14:textId="77777777" w:rsidR="00DF2375" w:rsidRDefault="00DF2375" w:rsidP="00486298">
            <w:pPr>
              <w:rPr>
                <w:b w:val="0"/>
                <w:bCs w:val="0"/>
              </w:rPr>
            </w:pPr>
            <w:r w:rsidRPr="00B6142C">
              <w:rPr>
                <w:b w:val="0"/>
                <w:bCs w:val="0"/>
              </w:rPr>
              <w:t xml:space="preserve">The Ankle Injury Management (AIM) trial was a pragmatic equivalence randomized controlled trial conducted at 24 hospitals in the United Kingdom that recruited 620 patients aged more than 60 years with an unstable ankle fracture. </w:t>
            </w:r>
          </w:p>
          <w:p w14:paraId="0ADD3020" w14:textId="77777777" w:rsidR="00DF2375" w:rsidRDefault="00DF2375" w:rsidP="00486298">
            <w:pPr>
              <w:rPr>
                <w:b w:val="0"/>
                <w:bCs w:val="0"/>
              </w:rPr>
            </w:pPr>
          </w:p>
          <w:p w14:paraId="19D9EB0B" w14:textId="79346D0A" w:rsidR="00DF2375" w:rsidRDefault="00DF2375" w:rsidP="00486298">
            <w:pPr>
              <w:rPr>
                <w:b w:val="0"/>
                <w:bCs w:val="0"/>
              </w:rPr>
            </w:pPr>
            <w:r w:rsidRPr="00B6142C">
              <w:rPr>
                <w:b w:val="0"/>
                <w:bCs w:val="0"/>
              </w:rPr>
              <w:t>The trial compared the usual care pathway of early management with open reduction and internal fixation</w:t>
            </w:r>
            <w:r>
              <w:rPr>
                <w:b w:val="0"/>
                <w:bCs w:val="0"/>
              </w:rPr>
              <w:t xml:space="preserve"> surgery</w:t>
            </w:r>
            <w:r w:rsidRPr="00B6142C">
              <w:rPr>
                <w:b w:val="0"/>
                <w:bCs w:val="0"/>
              </w:rPr>
              <w:t xml:space="preserve"> with initially attempting non-surgical management using close contact casting (CCC). CCC is a minimally padded cast applied </w:t>
            </w:r>
            <w:r>
              <w:rPr>
                <w:b w:val="0"/>
                <w:bCs w:val="0"/>
              </w:rPr>
              <w:t xml:space="preserve">in the operating theatre </w:t>
            </w:r>
            <w:r w:rsidRPr="00B6142C">
              <w:rPr>
                <w:b w:val="0"/>
                <w:bCs w:val="0"/>
              </w:rPr>
              <w:t>by an orthopaedic surgeo</w:t>
            </w:r>
            <w:r>
              <w:rPr>
                <w:b w:val="0"/>
                <w:bCs w:val="0"/>
              </w:rPr>
              <w:t>n</w:t>
            </w:r>
            <w:r w:rsidRPr="00B6142C">
              <w:rPr>
                <w:b w:val="0"/>
                <w:bCs w:val="0"/>
              </w:rPr>
              <w:t xml:space="preserve"> after closed reduction. </w:t>
            </w:r>
          </w:p>
          <w:p w14:paraId="7C6B149D" w14:textId="77777777" w:rsidR="00DF2375" w:rsidRDefault="00DF2375" w:rsidP="00486298">
            <w:pPr>
              <w:rPr>
                <w:b w:val="0"/>
                <w:bCs w:val="0"/>
              </w:rPr>
            </w:pPr>
          </w:p>
          <w:p w14:paraId="5D3208EE" w14:textId="5549F19B" w:rsidR="00DF2375" w:rsidRDefault="00DF2375" w:rsidP="00486298">
            <w:pPr>
              <w:rPr>
                <w:b w:val="0"/>
                <w:bCs w:val="0"/>
              </w:rPr>
            </w:pPr>
            <w:r w:rsidRPr="00A13F9A">
              <w:rPr>
                <w:b w:val="0"/>
                <w:bCs w:val="0"/>
              </w:rPr>
              <w:t xml:space="preserve">The CCC intervention was not a one-off procedure but rather it was a pathway: 1) attempt reduction in theatre, if unable to reduce, proceed with </w:t>
            </w:r>
            <w:r>
              <w:rPr>
                <w:b w:val="0"/>
                <w:bCs w:val="0"/>
              </w:rPr>
              <w:t>surgery</w:t>
            </w:r>
            <w:r w:rsidRPr="00A13F9A">
              <w:rPr>
                <w:b w:val="0"/>
                <w:bCs w:val="0"/>
              </w:rPr>
              <w:t xml:space="preserve">, 2) if CCC is applied but it cannot hold reduction in theatre, remove it and proceed with </w:t>
            </w:r>
            <w:r>
              <w:rPr>
                <w:b w:val="0"/>
                <w:bCs w:val="0"/>
              </w:rPr>
              <w:t>surgery</w:t>
            </w:r>
            <w:r w:rsidRPr="00A13F9A">
              <w:rPr>
                <w:b w:val="0"/>
                <w:bCs w:val="0"/>
              </w:rPr>
              <w:t xml:space="preserve">, 3) review in clinic (weekly for three weeks after CCC application was recommended), if reduction is lost to an unacceptable extent (judgement of surgeon) then re-apply CCC in clinic or theatre, or proceed to </w:t>
            </w:r>
            <w:r>
              <w:rPr>
                <w:b w:val="0"/>
                <w:bCs w:val="0"/>
              </w:rPr>
              <w:t>surgery</w:t>
            </w:r>
            <w:r w:rsidRPr="00A13F9A">
              <w:rPr>
                <w:b w:val="0"/>
                <w:bCs w:val="0"/>
              </w:rPr>
              <w:t>.</w:t>
            </w:r>
            <w:r>
              <w:rPr>
                <w:b w:val="0"/>
                <w:bCs w:val="0"/>
              </w:rPr>
              <w:t xml:space="preserve"> </w:t>
            </w:r>
            <w:r w:rsidRPr="00416DB3">
              <w:rPr>
                <w:b w:val="0"/>
                <w:bCs w:val="0"/>
              </w:rPr>
              <w:t>Four out of five participants on the CCC pathway were managed non-surgically. </w:t>
            </w:r>
          </w:p>
          <w:p w14:paraId="78F5147B" w14:textId="77777777" w:rsidR="00DF2375" w:rsidRPr="00416DB3" w:rsidRDefault="00DF2375" w:rsidP="00486298">
            <w:pPr>
              <w:rPr>
                <w:b w:val="0"/>
                <w:bCs w:val="0"/>
              </w:rPr>
            </w:pPr>
          </w:p>
          <w:p w14:paraId="088A30EE" w14:textId="78CE7A6B" w:rsidR="00DF2375" w:rsidRDefault="00DF2375" w:rsidP="00486298">
            <w:pPr>
              <w:rPr>
                <w:b w:val="0"/>
                <w:bCs w:val="0"/>
              </w:rPr>
            </w:pPr>
            <w:r w:rsidRPr="00E62162">
              <w:rPr>
                <w:b w:val="0"/>
                <w:bCs w:val="0"/>
              </w:rPr>
              <w:t xml:space="preserve">The primary endpoint of the AIM trial was patient reported ankle function at six months using the Olerud and Molander Ankle Scale (OMAS, 0-100, higher scores better). </w:t>
            </w:r>
            <w:r w:rsidRPr="00A5206F">
              <w:rPr>
                <w:b w:val="0"/>
                <w:bCs w:val="0"/>
              </w:rPr>
              <w:t>593</w:t>
            </w:r>
            <w:r>
              <w:rPr>
                <w:b w:val="0"/>
                <w:bCs w:val="0"/>
              </w:rPr>
              <w:t>/620</w:t>
            </w:r>
            <w:r w:rsidRPr="00A5206F">
              <w:rPr>
                <w:b w:val="0"/>
                <w:bCs w:val="0"/>
              </w:rPr>
              <w:t xml:space="preserve"> (96%) completed the study</w:t>
            </w:r>
            <w:r>
              <w:rPr>
                <w:b w:val="0"/>
                <w:bCs w:val="0"/>
              </w:rPr>
              <w:t xml:space="preserve"> follow-up at 6 months</w:t>
            </w:r>
            <w:r w:rsidRPr="00A5206F">
              <w:rPr>
                <w:b w:val="0"/>
                <w:bCs w:val="0"/>
              </w:rPr>
              <w:t xml:space="preserve">. </w:t>
            </w:r>
            <w:r w:rsidRPr="00E62162">
              <w:rPr>
                <w:b w:val="0"/>
                <w:bCs w:val="0"/>
              </w:rPr>
              <w:t>We found equivalence in ankle function and modest cost savings over six months when attempting initial fracture management with CCC compared to internal fixation surgery.</w:t>
            </w:r>
          </w:p>
          <w:p w14:paraId="31471B78" w14:textId="77777777" w:rsidR="00DF2375" w:rsidRDefault="00DF2375" w:rsidP="00486298">
            <w:pPr>
              <w:rPr>
                <w:b w:val="0"/>
                <w:bCs w:val="0"/>
              </w:rPr>
            </w:pPr>
          </w:p>
          <w:p w14:paraId="0EB523A0" w14:textId="77777777" w:rsidR="00DF2375" w:rsidRDefault="00DF2375" w:rsidP="00486298">
            <w:pPr>
              <w:rPr>
                <w:b w:val="0"/>
                <w:bCs w:val="0"/>
              </w:rPr>
            </w:pPr>
            <w:r w:rsidRPr="00E62162">
              <w:rPr>
                <w:b w:val="0"/>
                <w:bCs w:val="0"/>
              </w:rPr>
              <w:t xml:space="preserve">There was interest in longer term outcomes due to concerns about the higher rates of radiological malunion in the close contact casting group (15% vs 3%) and the possibility of later surgical procedures in both groups in the years after initial fracture management. </w:t>
            </w:r>
          </w:p>
          <w:p w14:paraId="4F0BA468" w14:textId="77777777" w:rsidR="00DF2375" w:rsidRDefault="00DF2375" w:rsidP="00486298">
            <w:pPr>
              <w:rPr>
                <w:b w:val="0"/>
                <w:bCs w:val="0"/>
              </w:rPr>
            </w:pPr>
          </w:p>
          <w:p w14:paraId="7DB59C77" w14:textId="27CE5EF1" w:rsidR="00DF2375" w:rsidRPr="007F0E8A" w:rsidRDefault="00DF2375" w:rsidP="00486298">
            <w:pPr>
              <w:rPr>
                <w:b w:val="0"/>
                <w:bCs w:val="0"/>
              </w:rPr>
            </w:pPr>
            <w:r w:rsidRPr="00E62162">
              <w:rPr>
                <w:b w:val="0"/>
                <w:bCs w:val="0"/>
              </w:rPr>
              <w:t>In 2018 the published longer-term follow up (median 3 years, range 2.9 to 9.5) included 73% of the trial cohort. We found ankle function remained equivalent at longer term follow-up.</w:t>
            </w:r>
          </w:p>
        </w:tc>
      </w:tr>
      <w:tr w:rsidR="00DF2375" w:rsidRPr="007F0E8A" w14:paraId="0F3F01DC" w14:textId="0FF61FD7" w:rsidTr="00DF2375">
        <w:tc>
          <w:tcPr>
            <w:tcW w:w="3114" w:type="dxa"/>
          </w:tcPr>
          <w:p w14:paraId="36503E73" w14:textId="44D9621D" w:rsidR="00DF2375" w:rsidRPr="007F0E8A" w:rsidRDefault="00DF2375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Key messages/findings</w:t>
            </w:r>
          </w:p>
        </w:tc>
        <w:tc>
          <w:tcPr>
            <w:tcW w:w="11340" w:type="dxa"/>
          </w:tcPr>
          <w:p w14:paraId="3F789027" w14:textId="02BFE445" w:rsidR="00DF2375" w:rsidRPr="007F0E8A" w:rsidRDefault="00DF2375" w:rsidP="00486298">
            <w:pPr>
              <w:rPr>
                <w:b w:val="0"/>
                <w:bCs w:val="0"/>
              </w:rPr>
            </w:pPr>
            <w:commentRangeStart w:id="0"/>
            <w:r w:rsidRPr="005E5AFC">
              <w:rPr>
                <w:b w:val="0"/>
                <w:bCs w:val="0"/>
              </w:rPr>
              <w:t xml:space="preserve">Evidence from the AIM trial supports surgeons considering </w:t>
            </w:r>
            <w:r>
              <w:rPr>
                <w:b w:val="0"/>
                <w:bCs w:val="0"/>
              </w:rPr>
              <w:t>non-surgical</w:t>
            </w:r>
            <w:r w:rsidRPr="005E5AFC">
              <w:rPr>
                <w:b w:val="0"/>
                <w:bCs w:val="0"/>
              </w:rPr>
              <w:t xml:space="preserve"> management by </w:t>
            </w:r>
            <w:r>
              <w:rPr>
                <w:b w:val="0"/>
                <w:bCs w:val="0"/>
              </w:rPr>
              <w:t>close contact casting (</w:t>
            </w:r>
            <w:r w:rsidRPr="005E5AFC">
              <w:rPr>
                <w:b w:val="0"/>
                <w:bCs w:val="0"/>
              </w:rPr>
              <w:t>CCC</w:t>
            </w:r>
            <w:r>
              <w:rPr>
                <w:b w:val="0"/>
                <w:bCs w:val="0"/>
              </w:rPr>
              <w:t xml:space="preserve">) </w:t>
            </w:r>
            <w:r w:rsidRPr="005E5AFC">
              <w:rPr>
                <w:b w:val="0"/>
                <w:bCs w:val="0"/>
              </w:rPr>
              <w:t xml:space="preserve">as a treatment option for these patients. The longer-term follow-up emphasized that patients treated with CCC need careful monitoring in the weeks after its application to monitor maintenance of </w:t>
            </w:r>
            <w:r>
              <w:rPr>
                <w:b w:val="0"/>
                <w:bCs w:val="0"/>
              </w:rPr>
              <w:t xml:space="preserve">fracture </w:t>
            </w:r>
            <w:r w:rsidRPr="005E5AFC">
              <w:rPr>
                <w:b w:val="0"/>
                <w:bCs w:val="0"/>
              </w:rPr>
              <w:t>reduction.</w:t>
            </w:r>
            <w:commentRangeEnd w:id="0"/>
            <w:r w:rsidRPr="007F0E8A">
              <w:rPr>
                <w:rStyle w:val="CommentReference"/>
                <w:b w:val="0"/>
                <w:bCs w:val="0"/>
                <w:sz w:val="22"/>
                <w:szCs w:val="22"/>
              </w:rPr>
              <w:commentReference w:id="0"/>
            </w:r>
          </w:p>
        </w:tc>
      </w:tr>
      <w:tr w:rsidR="00DF2375" w:rsidRPr="007F0E8A" w14:paraId="15073550" w14:textId="23E27CEB" w:rsidTr="00DF2375">
        <w:tc>
          <w:tcPr>
            <w:tcW w:w="3114" w:type="dxa"/>
          </w:tcPr>
          <w:p w14:paraId="7F3718A7" w14:textId="4B315B2F" w:rsidR="00DF2375" w:rsidRPr="007F0E8A" w:rsidRDefault="00DF2375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Eligibility criteria (if relevant)</w:t>
            </w:r>
          </w:p>
        </w:tc>
        <w:tc>
          <w:tcPr>
            <w:tcW w:w="11340" w:type="dxa"/>
          </w:tcPr>
          <w:p w14:paraId="7FB9C6A9" w14:textId="5D8B7373" w:rsidR="00DF2375" w:rsidRPr="00B806B6" w:rsidRDefault="00DF2375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</w:t>
            </w:r>
            <w:r w:rsidRPr="00B76C66">
              <w:rPr>
                <w:b w:val="0"/>
                <w:bCs w:val="0"/>
              </w:rPr>
              <w:t xml:space="preserve">dults over 60 </w:t>
            </w:r>
            <w:r>
              <w:rPr>
                <w:b w:val="0"/>
                <w:bCs w:val="0"/>
              </w:rPr>
              <w:t>with an overtly clinically unstable</w:t>
            </w:r>
            <w:r w:rsidRPr="00B76C66">
              <w:rPr>
                <w:b w:val="0"/>
                <w:bCs w:val="0"/>
              </w:rPr>
              <w:t xml:space="preserve"> ankle fracture</w:t>
            </w:r>
            <w:r w:rsidRPr="000B06C3">
              <w:rPr>
                <w:b w:val="0"/>
                <w:bCs w:val="0"/>
              </w:rPr>
              <w:t xml:space="preserve">, who would typically be </w:t>
            </w:r>
            <w:r>
              <w:rPr>
                <w:b w:val="0"/>
                <w:bCs w:val="0"/>
              </w:rPr>
              <w:t xml:space="preserve">considered for </w:t>
            </w:r>
            <w:r w:rsidRPr="000B06C3">
              <w:rPr>
                <w:b w:val="0"/>
                <w:bCs w:val="0"/>
              </w:rPr>
              <w:t xml:space="preserve">surgery. </w:t>
            </w:r>
          </w:p>
        </w:tc>
      </w:tr>
      <w:tr w:rsidR="00DF2375" w:rsidRPr="007F0E8A" w14:paraId="790F1439" w14:textId="03429DFE" w:rsidTr="00DF2375">
        <w:tc>
          <w:tcPr>
            <w:tcW w:w="3114" w:type="dxa"/>
          </w:tcPr>
          <w:p w14:paraId="5094F18A" w14:textId="07AD467B" w:rsidR="00DF2375" w:rsidRPr="007F0E8A" w:rsidRDefault="00DF2375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lastRenderedPageBreak/>
              <w:t>Study details (if relevant)</w:t>
            </w:r>
          </w:p>
        </w:tc>
        <w:tc>
          <w:tcPr>
            <w:tcW w:w="11340" w:type="dxa"/>
          </w:tcPr>
          <w:p w14:paraId="7D030CCD" w14:textId="573210F4" w:rsidR="00DF2375" w:rsidRPr="007F0E8A" w:rsidRDefault="00DF2375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- 24 hospital sites across the UK</w:t>
            </w:r>
            <w:r>
              <w:rPr>
                <w:b w:val="0"/>
                <w:bCs w:val="0"/>
              </w:rPr>
              <w:br/>
              <w:t xml:space="preserve">- 620 participants randomised to the study, </w:t>
            </w:r>
            <w:r>
              <w:rPr>
                <w:b w:val="0"/>
                <w:bCs w:val="0"/>
              </w:rPr>
              <w:br/>
              <w:t>- Primary outcome measure: ankle function at 6 months post-fracture</w:t>
            </w:r>
            <w:r>
              <w:rPr>
                <w:b w:val="0"/>
                <w:bCs w:val="0"/>
              </w:rPr>
              <w:br/>
              <w:t xml:space="preserve">- Secondary outcome measures: </w:t>
            </w:r>
            <w:r w:rsidRPr="00611F15">
              <w:rPr>
                <w:b w:val="0"/>
                <w:bCs w:val="0"/>
              </w:rPr>
              <w:t>quality of life, pain, ankle motion, mobility, complications, health resource use, and patient satisfaction.</w:t>
            </w:r>
          </w:p>
        </w:tc>
      </w:tr>
      <w:tr w:rsidR="00DF2375" w:rsidRPr="007F0E8A" w14:paraId="7CB63385" w14:textId="1DBBB25E" w:rsidTr="00DF2375">
        <w:tc>
          <w:tcPr>
            <w:tcW w:w="3114" w:type="dxa"/>
          </w:tcPr>
          <w:p w14:paraId="5287C35F" w14:textId="4B4F161C" w:rsidR="00DF2375" w:rsidRPr="007F0E8A" w:rsidRDefault="00DF2375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Target audience</w:t>
            </w:r>
          </w:p>
        </w:tc>
        <w:tc>
          <w:tcPr>
            <w:tcW w:w="11340" w:type="dxa"/>
          </w:tcPr>
          <w:p w14:paraId="3D5EE64F" w14:textId="2A76045A" w:rsidR="00DF2375" w:rsidRPr="007F0E8A" w:rsidRDefault="00DF2375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Patients, clinicians</w:t>
            </w:r>
          </w:p>
        </w:tc>
      </w:tr>
      <w:tr w:rsidR="00DF2375" w:rsidRPr="007F0E8A" w14:paraId="1C8C7098" w14:textId="77777777" w:rsidTr="00DF2375">
        <w:tc>
          <w:tcPr>
            <w:tcW w:w="3114" w:type="dxa"/>
          </w:tcPr>
          <w:p w14:paraId="32DC665A" w14:textId="2B236E4A" w:rsidR="00DF2375" w:rsidRDefault="00DF2375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Contact information</w:t>
            </w:r>
          </w:p>
        </w:tc>
        <w:tc>
          <w:tcPr>
            <w:tcW w:w="11340" w:type="dxa"/>
          </w:tcPr>
          <w:p w14:paraId="4C4F5CE4" w14:textId="7D7B5C92" w:rsidR="00DF2375" w:rsidRPr="007F0E8A" w:rsidRDefault="00DF2375" w:rsidP="00486298">
            <w:pPr>
              <w:rPr>
                <w:b w:val="0"/>
                <w:bCs w:val="0"/>
              </w:rPr>
            </w:pPr>
            <w:hyperlink r:id="rId13" w:history="1">
              <w:r w:rsidRPr="003353A7">
                <w:rPr>
                  <w:rStyle w:val="Hyperlink"/>
                  <w:b w:val="0"/>
                  <w:bCs w:val="0"/>
                </w:rPr>
                <w:t>oxfordtrauma@ndorms.ox.ac.uk</w:t>
              </w:r>
            </w:hyperlink>
          </w:p>
        </w:tc>
      </w:tr>
      <w:tr w:rsidR="00DF2375" w:rsidRPr="007F0E8A" w14:paraId="3D14A98B" w14:textId="77777777" w:rsidTr="00DF2375">
        <w:tc>
          <w:tcPr>
            <w:tcW w:w="3114" w:type="dxa"/>
          </w:tcPr>
          <w:p w14:paraId="0BB7C84A" w14:textId="325B019E" w:rsidR="00DF2375" w:rsidRDefault="00DF2375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Sponsor name</w:t>
            </w:r>
          </w:p>
        </w:tc>
        <w:tc>
          <w:tcPr>
            <w:tcW w:w="11340" w:type="dxa"/>
          </w:tcPr>
          <w:p w14:paraId="248B6878" w14:textId="64EAC3BC" w:rsidR="00DF2375" w:rsidRPr="007F0E8A" w:rsidRDefault="00DF2375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University of Oxford</w:t>
            </w:r>
          </w:p>
        </w:tc>
      </w:tr>
      <w:tr w:rsidR="00DF2375" w:rsidRPr="007F0E8A" w14:paraId="045051F4" w14:textId="77777777" w:rsidTr="00DF2375">
        <w:tc>
          <w:tcPr>
            <w:tcW w:w="3114" w:type="dxa"/>
          </w:tcPr>
          <w:p w14:paraId="5C2756C6" w14:textId="4960F865" w:rsidR="00DF2375" w:rsidRDefault="00DF2375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Funder</w:t>
            </w:r>
          </w:p>
        </w:tc>
        <w:tc>
          <w:tcPr>
            <w:tcW w:w="11340" w:type="dxa"/>
          </w:tcPr>
          <w:p w14:paraId="6C38C4F7" w14:textId="1522C3C1" w:rsidR="00DF2375" w:rsidRPr="007F0E8A" w:rsidRDefault="00DF2375" w:rsidP="00486298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National Institute for Health and Care Research, supported by the NIHR Oxford Biomedical Research Centre</w:t>
            </w:r>
          </w:p>
        </w:tc>
      </w:tr>
    </w:tbl>
    <w:p w14:paraId="2938C8C4" w14:textId="77777777" w:rsidR="00741DB3" w:rsidRDefault="00741DB3" w:rsidP="00741DB3">
      <w:pPr>
        <w:rPr>
          <w:b w:val="0"/>
          <w:bCs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6662"/>
        <w:gridCol w:w="4172"/>
      </w:tblGrid>
      <w:tr w:rsidR="00976872" w:rsidRPr="007F0E8A" w14:paraId="6EE03CAD" w14:textId="77777777" w:rsidTr="00D15DDE">
        <w:tc>
          <w:tcPr>
            <w:tcW w:w="3114" w:type="dxa"/>
          </w:tcPr>
          <w:p w14:paraId="53F07641" w14:textId="1116E034" w:rsidR="00976872" w:rsidRPr="007F0E8A" w:rsidRDefault="00976872" w:rsidP="006E1C04">
            <w:pPr>
              <w:rPr>
                <w:b w:val="0"/>
                <w:bCs w:val="0"/>
              </w:rPr>
            </w:pPr>
            <w:r>
              <w:t>Design information/branding</w:t>
            </w:r>
          </w:p>
        </w:tc>
        <w:tc>
          <w:tcPr>
            <w:tcW w:w="6662" w:type="dxa"/>
          </w:tcPr>
          <w:p w14:paraId="4AF58616" w14:textId="77777777" w:rsidR="00976872" w:rsidRPr="005245E5" w:rsidRDefault="00976872" w:rsidP="006E1C04">
            <w:r>
              <w:t>Answer</w:t>
            </w:r>
          </w:p>
        </w:tc>
        <w:tc>
          <w:tcPr>
            <w:tcW w:w="4172" w:type="dxa"/>
          </w:tcPr>
          <w:p w14:paraId="4825D81A" w14:textId="77777777" w:rsidR="00976872" w:rsidRPr="005245E5" w:rsidRDefault="00976872" w:rsidP="006E1C04">
            <w:r>
              <w:t>Notes</w:t>
            </w:r>
          </w:p>
        </w:tc>
      </w:tr>
      <w:tr w:rsidR="00976872" w:rsidRPr="007F0E8A" w14:paraId="7B0936A4" w14:textId="77777777" w:rsidTr="00D15DDE">
        <w:tc>
          <w:tcPr>
            <w:tcW w:w="3114" w:type="dxa"/>
          </w:tcPr>
          <w:p w14:paraId="2B84B3E2" w14:textId="6B6E3662" w:rsidR="00976872" w:rsidRPr="007F0E8A" w:rsidRDefault="00E7260E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Is this a WHiTE trial?</w:t>
            </w:r>
          </w:p>
        </w:tc>
        <w:tc>
          <w:tcPr>
            <w:tcW w:w="6662" w:type="dxa"/>
          </w:tcPr>
          <w:p w14:paraId="1CF5A278" w14:textId="4EBE155F" w:rsidR="00976872" w:rsidRPr="007F0E8A" w:rsidRDefault="00E300C2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No</w:t>
            </w:r>
          </w:p>
        </w:tc>
        <w:tc>
          <w:tcPr>
            <w:tcW w:w="4172" w:type="dxa"/>
          </w:tcPr>
          <w:p w14:paraId="1666A65F" w14:textId="77777777" w:rsidR="00976872" w:rsidRPr="007F0E8A" w:rsidRDefault="00976872" w:rsidP="006E1C04">
            <w:pPr>
              <w:rPr>
                <w:b w:val="0"/>
                <w:bCs w:val="0"/>
              </w:rPr>
            </w:pPr>
          </w:p>
        </w:tc>
      </w:tr>
      <w:tr w:rsidR="00976872" w:rsidRPr="007F0E8A" w14:paraId="375E4316" w14:textId="77777777" w:rsidTr="00D15DDE">
        <w:tc>
          <w:tcPr>
            <w:tcW w:w="3114" w:type="dxa"/>
          </w:tcPr>
          <w:p w14:paraId="2B823142" w14:textId="068B1930" w:rsidR="00976872" w:rsidRPr="007F0E8A" w:rsidRDefault="00E7260E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If not a WHiTE trial, what is the preferred colour scheme? </w:t>
            </w:r>
          </w:p>
        </w:tc>
        <w:tc>
          <w:tcPr>
            <w:tcW w:w="6662" w:type="dxa"/>
          </w:tcPr>
          <w:p w14:paraId="3CA8783C" w14:textId="6E6C14F8" w:rsidR="00976872" w:rsidRPr="007F0E8A" w:rsidRDefault="00E300C2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Colour scheme to be based on colours of AIM study logo</w:t>
            </w:r>
          </w:p>
        </w:tc>
        <w:tc>
          <w:tcPr>
            <w:tcW w:w="4172" w:type="dxa"/>
          </w:tcPr>
          <w:p w14:paraId="261965AC" w14:textId="43CF3863" w:rsidR="00976872" w:rsidRPr="007F0E8A" w:rsidRDefault="00E317CD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Could</w:t>
            </w:r>
            <w:r w:rsidR="00D15DDE">
              <w:rPr>
                <w:b w:val="0"/>
                <w:bCs w:val="0"/>
              </w:rPr>
              <w:t xml:space="preserve"> be based on colours in the trial logo</w:t>
            </w:r>
          </w:p>
        </w:tc>
      </w:tr>
      <w:tr w:rsidR="00976872" w:rsidRPr="007F0E8A" w14:paraId="778D4059" w14:textId="77777777" w:rsidTr="00D15DDE">
        <w:tc>
          <w:tcPr>
            <w:tcW w:w="3114" w:type="dxa"/>
          </w:tcPr>
          <w:p w14:paraId="36408766" w14:textId="26052C27" w:rsidR="00976872" w:rsidRPr="007F0E8A" w:rsidRDefault="00D76EE1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Style and design preferences</w:t>
            </w:r>
          </w:p>
        </w:tc>
        <w:tc>
          <w:tcPr>
            <w:tcW w:w="6662" w:type="dxa"/>
          </w:tcPr>
          <w:p w14:paraId="61DA83DB" w14:textId="77777777" w:rsidR="00976872" w:rsidRDefault="00976872" w:rsidP="006E1C04">
            <w:pPr>
              <w:rPr>
                <w:b w:val="0"/>
                <w:bCs w:val="0"/>
              </w:rPr>
            </w:pPr>
          </w:p>
          <w:p w14:paraId="649716D0" w14:textId="75744A9A" w:rsidR="003E2A83" w:rsidRPr="007F0E8A" w:rsidRDefault="00E300C2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Professional, clear, concise</w:t>
            </w:r>
          </w:p>
        </w:tc>
        <w:tc>
          <w:tcPr>
            <w:tcW w:w="4172" w:type="dxa"/>
          </w:tcPr>
          <w:p w14:paraId="135323B3" w14:textId="48BD6CD6" w:rsidR="00976872" w:rsidRDefault="00D76EE1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E.g. clean / bold / clinical / friendly</w:t>
            </w:r>
          </w:p>
        </w:tc>
      </w:tr>
    </w:tbl>
    <w:p w14:paraId="3F4CAB02" w14:textId="77777777" w:rsidR="00976872" w:rsidRDefault="00976872" w:rsidP="00741DB3">
      <w:pPr>
        <w:rPr>
          <w:b w:val="0"/>
          <w:bCs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6662"/>
        <w:gridCol w:w="4172"/>
      </w:tblGrid>
      <w:tr w:rsidR="00966EDA" w:rsidRPr="007F0E8A" w14:paraId="6B73A1D3" w14:textId="77777777" w:rsidTr="006E1C04">
        <w:tc>
          <w:tcPr>
            <w:tcW w:w="3114" w:type="dxa"/>
          </w:tcPr>
          <w:p w14:paraId="2B0D9115" w14:textId="783D9830" w:rsidR="00966EDA" w:rsidRPr="007F0E8A" w:rsidRDefault="00966EDA" w:rsidP="006E1C04">
            <w:pPr>
              <w:rPr>
                <w:b w:val="0"/>
                <w:bCs w:val="0"/>
              </w:rPr>
            </w:pPr>
            <w:r>
              <w:t>Additional notes for designer</w:t>
            </w:r>
          </w:p>
        </w:tc>
        <w:tc>
          <w:tcPr>
            <w:tcW w:w="6662" w:type="dxa"/>
          </w:tcPr>
          <w:p w14:paraId="428389B4" w14:textId="77777777" w:rsidR="00966EDA" w:rsidRPr="005245E5" w:rsidRDefault="00966EDA" w:rsidP="006E1C04">
            <w:r>
              <w:t>Answer</w:t>
            </w:r>
          </w:p>
        </w:tc>
        <w:tc>
          <w:tcPr>
            <w:tcW w:w="4172" w:type="dxa"/>
          </w:tcPr>
          <w:p w14:paraId="4B468546" w14:textId="77777777" w:rsidR="00966EDA" w:rsidRPr="005245E5" w:rsidRDefault="00966EDA" w:rsidP="006E1C04">
            <w:r>
              <w:t>Notes</w:t>
            </w:r>
          </w:p>
        </w:tc>
      </w:tr>
      <w:tr w:rsidR="00966EDA" w:rsidRPr="007F0E8A" w14:paraId="4B8C1872" w14:textId="77777777" w:rsidTr="006E1C04">
        <w:tc>
          <w:tcPr>
            <w:tcW w:w="3114" w:type="dxa"/>
          </w:tcPr>
          <w:p w14:paraId="4E13FBDC" w14:textId="43244972" w:rsidR="00966EDA" w:rsidRPr="007F0E8A" w:rsidRDefault="00966EDA" w:rsidP="006E1C0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Any other details to include in brief which is sent to designers</w:t>
            </w:r>
          </w:p>
        </w:tc>
        <w:tc>
          <w:tcPr>
            <w:tcW w:w="6662" w:type="dxa"/>
          </w:tcPr>
          <w:p w14:paraId="70FC2287" w14:textId="77777777" w:rsidR="00966EDA" w:rsidRDefault="00966EDA" w:rsidP="006E1C04">
            <w:pPr>
              <w:rPr>
                <w:b w:val="0"/>
                <w:bCs w:val="0"/>
              </w:rPr>
            </w:pPr>
          </w:p>
          <w:p w14:paraId="1BA85E55" w14:textId="77777777" w:rsidR="003E2A83" w:rsidRDefault="003E2A83" w:rsidP="006E1C04">
            <w:pPr>
              <w:rPr>
                <w:b w:val="0"/>
                <w:bCs w:val="0"/>
              </w:rPr>
            </w:pPr>
          </w:p>
          <w:p w14:paraId="6FB20973" w14:textId="77777777" w:rsidR="003E2A83" w:rsidRPr="007F0E8A" w:rsidRDefault="003E2A83" w:rsidP="006E1C04">
            <w:pPr>
              <w:rPr>
                <w:b w:val="0"/>
                <w:bCs w:val="0"/>
              </w:rPr>
            </w:pPr>
          </w:p>
        </w:tc>
        <w:tc>
          <w:tcPr>
            <w:tcW w:w="4172" w:type="dxa"/>
          </w:tcPr>
          <w:p w14:paraId="1C217B83" w14:textId="77777777" w:rsidR="00966EDA" w:rsidRPr="007F0E8A" w:rsidRDefault="00966EDA" w:rsidP="006E1C04">
            <w:pPr>
              <w:rPr>
                <w:b w:val="0"/>
                <w:bCs w:val="0"/>
              </w:rPr>
            </w:pPr>
          </w:p>
        </w:tc>
      </w:tr>
    </w:tbl>
    <w:p w14:paraId="716EB502" w14:textId="1DFB4274" w:rsidR="0081582F" w:rsidRPr="0081582F" w:rsidRDefault="00A12D0F" w:rsidP="00741DB3">
      <w:r>
        <w:br/>
      </w:r>
      <w:r w:rsidR="0081582F">
        <w:t xml:space="preserve">NB the following logos will usually need to be included: </w:t>
      </w:r>
      <w:r w:rsidR="003532DE">
        <w:t xml:space="preserve">trial logo, </w:t>
      </w:r>
      <w:r w:rsidR="003A1C81">
        <w:t>Oxford Trauma and Emergency Care, NDORMS (if applicable), NIHR (if NIHR-funded), University of Oxford (if applicable), Sponsor/NHS Trust (if applicable)</w:t>
      </w:r>
    </w:p>
    <w:sectPr w:rsidR="0081582F" w:rsidRPr="0081582F" w:rsidSect="00A12D0F">
      <w:headerReference w:type="default" r:id="rId14"/>
      <w:footerReference w:type="default" r:id="rId15"/>
      <w:pgSz w:w="16838" w:h="11906" w:orient="landscape"/>
      <w:pgMar w:top="1440" w:right="1440" w:bottom="993" w:left="1440" w:header="708" w:footer="120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Jessica Ryan-Phillips" w:date="2025-11-24T12:40:00Z" w:initials="JR">
    <w:p w14:paraId="1D8B1E46" w14:textId="77777777" w:rsidR="00DF2375" w:rsidRDefault="00DF2375" w:rsidP="00781664">
      <w:pPr>
        <w:pStyle w:val="CommentText"/>
      </w:pPr>
      <w:r>
        <w:rPr>
          <w:rStyle w:val="CommentReference"/>
        </w:rPr>
        <w:annotationRef/>
      </w:r>
      <w:r>
        <w:t>This is the most important bit - do rewrite if needs more detail/nuance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D8B1E46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43201354" w16cex:dateUtc="2025-11-24T12:4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D8B1E46" w16cid:durableId="4320135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4B8A04" w14:textId="77777777" w:rsidR="0061269E" w:rsidRDefault="0061269E" w:rsidP="007D7480">
      <w:pPr>
        <w:spacing w:after="0" w:line="240" w:lineRule="auto"/>
      </w:pPr>
      <w:r>
        <w:separator/>
      </w:r>
    </w:p>
  </w:endnote>
  <w:endnote w:type="continuationSeparator" w:id="0">
    <w:p w14:paraId="5DE87654" w14:textId="77777777" w:rsidR="0061269E" w:rsidRDefault="0061269E" w:rsidP="007D7480">
      <w:pPr>
        <w:spacing w:after="0" w:line="240" w:lineRule="auto"/>
      </w:pPr>
      <w:r>
        <w:continuationSeparator/>
      </w:r>
    </w:p>
  </w:endnote>
  <w:endnote w:type="continuationNotice" w:id="1">
    <w:p w14:paraId="1DFCB1D9" w14:textId="77777777" w:rsidR="0061269E" w:rsidRDefault="0061269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636895" w14:textId="5254BBF8" w:rsidR="007D7480" w:rsidRDefault="007D7480" w:rsidP="00962A74">
    <w:pPr>
      <w:pStyle w:val="Footer"/>
      <w:ind w:left="-1134"/>
      <w:jc w:val="center"/>
    </w:pPr>
    <w:r>
      <w:t>Infographic</w:t>
    </w:r>
    <w:r w:rsidR="00962A74">
      <w:t xml:space="preserve"> </w:t>
    </w:r>
    <w:r>
      <w:t>Design</w:t>
    </w:r>
    <w:r w:rsidR="00962A74">
      <w:t xml:space="preserve"> </w:t>
    </w:r>
    <w:r>
      <w:t>Information</w:t>
    </w:r>
    <w:r w:rsidR="00962A74">
      <w:tab/>
    </w:r>
    <w:r w:rsidR="00962A74">
      <w:tab/>
      <w:t xml:space="preserve">   Last updated </w:t>
    </w:r>
    <w:r w:rsidR="000E63A8">
      <w:t>Aug</w:t>
    </w:r>
    <w:r>
      <w:t>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9D22AF" w14:textId="77777777" w:rsidR="0061269E" w:rsidRDefault="0061269E" w:rsidP="007D7480">
      <w:pPr>
        <w:spacing w:after="0" w:line="240" w:lineRule="auto"/>
      </w:pPr>
      <w:r>
        <w:separator/>
      </w:r>
    </w:p>
  </w:footnote>
  <w:footnote w:type="continuationSeparator" w:id="0">
    <w:p w14:paraId="27D141BF" w14:textId="77777777" w:rsidR="0061269E" w:rsidRDefault="0061269E" w:rsidP="007D7480">
      <w:pPr>
        <w:spacing w:after="0" w:line="240" w:lineRule="auto"/>
      </w:pPr>
      <w:r>
        <w:continuationSeparator/>
      </w:r>
    </w:p>
  </w:footnote>
  <w:footnote w:type="continuationNotice" w:id="1">
    <w:p w14:paraId="5B0A5E6E" w14:textId="77777777" w:rsidR="0061269E" w:rsidRDefault="0061269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3FE01" w14:textId="7033FAE6" w:rsidR="007D7480" w:rsidRDefault="007D7480" w:rsidP="007D7480">
    <w:pPr>
      <w:pStyle w:val="NormalWeb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CFFBC9A" wp14:editId="08257559">
          <wp:simplePos x="0" y="0"/>
          <wp:positionH relativeFrom="margin">
            <wp:align>center</wp:align>
          </wp:positionH>
          <wp:positionV relativeFrom="paragraph">
            <wp:posOffset>-163830</wp:posOffset>
          </wp:positionV>
          <wp:extent cx="5731510" cy="494665"/>
          <wp:effectExtent l="0" t="0" r="2540" b="635"/>
          <wp:wrapSquare wrapText="bothSides"/>
          <wp:docPr id="165491330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494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Jessica Ryan-Phillips">
    <w15:presenceInfo w15:providerId="AD" w15:userId="S::kenn0220@ox.ac.uk::c831fddf-6743-4a7c-b7ff-dc13983fcc0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480"/>
    <w:rsid w:val="00090A57"/>
    <w:rsid w:val="000B06C3"/>
    <w:rsid w:val="000E63A8"/>
    <w:rsid w:val="00122C06"/>
    <w:rsid w:val="001E3272"/>
    <w:rsid w:val="002A1992"/>
    <w:rsid w:val="002F36FC"/>
    <w:rsid w:val="002F689C"/>
    <w:rsid w:val="00305A4C"/>
    <w:rsid w:val="00336EEB"/>
    <w:rsid w:val="003532DE"/>
    <w:rsid w:val="003663E3"/>
    <w:rsid w:val="00391DF4"/>
    <w:rsid w:val="003A1C81"/>
    <w:rsid w:val="003E2A83"/>
    <w:rsid w:val="00401CA7"/>
    <w:rsid w:val="00401E24"/>
    <w:rsid w:val="00416DB3"/>
    <w:rsid w:val="00486298"/>
    <w:rsid w:val="004959E0"/>
    <w:rsid w:val="005166D8"/>
    <w:rsid w:val="005205CA"/>
    <w:rsid w:val="005245E5"/>
    <w:rsid w:val="005B70FA"/>
    <w:rsid w:val="005B712C"/>
    <w:rsid w:val="005E5AFC"/>
    <w:rsid w:val="00611F15"/>
    <w:rsid w:val="0061269E"/>
    <w:rsid w:val="00641F2F"/>
    <w:rsid w:val="0066001F"/>
    <w:rsid w:val="00695D47"/>
    <w:rsid w:val="007202E3"/>
    <w:rsid w:val="00737148"/>
    <w:rsid w:val="00741DB3"/>
    <w:rsid w:val="00765D98"/>
    <w:rsid w:val="00781664"/>
    <w:rsid w:val="007D7480"/>
    <w:rsid w:val="007F0E8A"/>
    <w:rsid w:val="0080116D"/>
    <w:rsid w:val="0081582F"/>
    <w:rsid w:val="00926E04"/>
    <w:rsid w:val="00960A9D"/>
    <w:rsid w:val="00962A74"/>
    <w:rsid w:val="00966EDA"/>
    <w:rsid w:val="00976872"/>
    <w:rsid w:val="0098552A"/>
    <w:rsid w:val="00997184"/>
    <w:rsid w:val="00A12D0F"/>
    <w:rsid w:val="00A13F9A"/>
    <w:rsid w:val="00A166F9"/>
    <w:rsid w:val="00A5206F"/>
    <w:rsid w:val="00AB34F6"/>
    <w:rsid w:val="00AB60C2"/>
    <w:rsid w:val="00AF7393"/>
    <w:rsid w:val="00B32890"/>
    <w:rsid w:val="00B6142C"/>
    <w:rsid w:val="00B62908"/>
    <w:rsid w:val="00B76C66"/>
    <w:rsid w:val="00B806B6"/>
    <w:rsid w:val="00B956DE"/>
    <w:rsid w:val="00C26FEC"/>
    <w:rsid w:val="00C6648B"/>
    <w:rsid w:val="00CB5E21"/>
    <w:rsid w:val="00CD22CE"/>
    <w:rsid w:val="00CF336E"/>
    <w:rsid w:val="00D15DDE"/>
    <w:rsid w:val="00D76EE1"/>
    <w:rsid w:val="00DA7EBD"/>
    <w:rsid w:val="00DE619E"/>
    <w:rsid w:val="00DF2375"/>
    <w:rsid w:val="00DF65F2"/>
    <w:rsid w:val="00E300C2"/>
    <w:rsid w:val="00E317CD"/>
    <w:rsid w:val="00E62162"/>
    <w:rsid w:val="00E7260E"/>
    <w:rsid w:val="00EB0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660958"/>
  <w15:chartTrackingRefBased/>
  <w15:docId w15:val="{7B5D9241-94F9-49C7-B30C-7F42D4AC3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b/>
        <w:bCs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74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74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74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74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74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74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74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74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74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74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74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74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74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74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74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74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74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74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74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74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74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74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74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74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74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74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74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74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7480"/>
    <w:rPr>
      <w:b w:val="0"/>
      <w:bCs w:val="0"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D7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7480"/>
  </w:style>
  <w:style w:type="paragraph" w:styleId="Footer">
    <w:name w:val="footer"/>
    <w:basedOn w:val="Normal"/>
    <w:link w:val="FooterChar"/>
    <w:uiPriority w:val="99"/>
    <w:unhideWhenUsed/>
    <w:rsid w:val="007D7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7480"/>
  </w:style>
  <w:style w:type="paragraph" w:styleId="NormalWeb">
    <w:name w:val="Normal (Web)"/>
    <w:basedOn w:val="Normal"/>
    <w:uiPriority w:val="99"/>
    <w:unhideWhenUsed/>
    <w:rsid w:val="007D74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table" w:styleId="TableGrid">
    <w:name w:val="Table Grid"/>
    <w:basedOn w:val="TableNormal"/>
    <w:uiPriority w:val="39"/>
    <w:rsid w:val="00DF65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B71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B712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B712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712C"/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712C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A7EB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7E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693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oxfordtrauma@ndorms.ox.ac.uk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microsoft.com/office/2018/08/relationships/commentsExtensible" Target="commentsExtensible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6/09/relationships/commentsIds" Target="commentsIds.xm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microsoft.com/office/2011/relationships/commentsExtended" Target="commentsExtended.xml"/><Relationship Id="rId4" Type="http://schemas.openxmlformats.org/officeDocument/2006/relationships/styles" Target="styles.xml"/><Relationship Id="rId9" Type="http://schemas.openxmlformats.org/officeDocument/2006/relationships/comments" Target="comment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f9ffdd9-42e1-4d45-aa85-adfb6d859571" xsi:nil="true"/>
    <lcf76f155ced4ddcb4097134ff3c332f xmlns="87b55ff9-0c83-43e2-b253-ab2ed4cb028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0236549DF2CE438F3834698861A11A" ma:contentTypeVersion="16" ma:contentTypeDescription="Create a new document." ma:contentTypeScope="" ma:versionID="9a7ab1e4885de2f685511ed8fb8c00b4">
  <xsd:schema xmlns:xsd="http://www.w3.org/2001/XMLSchema" xmlns:xs="http://www.w3.org/2001/XMLSchema" xmlns:p="http://schemas.microsoft.com/office/2006/metadata/properties" xmlns:ns2="87b55ff9-0c83-43e2-b253-ab2ed4cb0285" xmlns:ns3="9f9ffdd9-42e1-4d45-aa85-adfb6d859571" targetNamespace="http://schemas.microsoft.com/office/2006/metadata/properties" ma:root="true" ma:fieldsID="c942e2c2013f6e63354f26d46a8674f8" ns2:_="" ns3:_="">
    <xsd:import namespace="87b55ff9-0c83-43e2-b253-ab2ed4cb0285"/>
    <xsd:import namespace="9f9ffdd9-42e1-4d45-aa85-adfb6d8595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b55ff9-0c83-43e2-b253-ab2ed4cb02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eeb44a9-b924-44d0-8ed9-f8b504a4ba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9ffdd9-42e1-4d45-aa85-adfb6d85957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d727a59-f031-4f22-8f97-3262e65c7fbb}" ma:internalName="TaxCatchAll" ma:showField="CatchAllData" ma:web="9f9ffdd9-42e1-4d45-aa85-adfb6d8595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C384B37-77B1-4B8C-BE35-CBDAD8131AA4}">
  <ds:schemaRefs>
    <ds:schemaRef ds:uri="http://schemas.microsoft.com/office/2006/metadata/properties"/>
    <ds:schemaRef ds:uri="http://schemas.microsoft.com/office/infopath/2007/PartnerControls"/>
    <ds:schemaRef ds:uri="9f9ffdd9-42e1-4d45-aa85-adfb6d859571"/>
    <ds:schemaRef ds:uri="87b55ff9-0c83-43e2-b253-ab2ed4cb0285"/>
  </ds:schemaRefs>
</ds:datastoreItem>
</file>

<file path=customXml/itemProps2.xml><?xml version="1.0" encoding="utf-8"?>
<ds:datastoreItem xmlns:ds="http://schemas.openxmlformats.org/officeDocument/2006/customXml" ds:itemID="{B98273DD-3C7D-4D47-A287-BA923D0B158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52F2E9D-A53D-4802-B3BA-1108E045A3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b55ff9-0c83-43e2-b253-ab2ed4cb0285"/>
    <ds:schemaRef ds:uri="9f9ffdd9-42e1-4d45-aa85-adfb6d8595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681</Words>
  <Characters>3440</Characters>
  <Application>Microsoft Office Word</Application>
  <DocSecurity>0</DocSecurity>
  <Lines>49</Lines>
  <Paragraphs>11</Paragraphs>
  <ScaleCrop>false</ScaleCrop>
  <Company/>
  <LinksUpToDate>false</LinksUpToDate>
  <CharactersWithSpaces>4110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Ryan-Phillips</dc:creator>
  <cp:keywords/>
  <dc:description/>
  <cp:lastModifiedBy>Jessica Ryan-Phillips</cp:lastModifiedBy>
  <cp:revision>2</cp:revision>
  <dcterms:created xsi:type="dcterms:W3CDTF">2026-01-08T09:53:00Z</dcterms:created>
  <dcterms:modified xsi:type="dcterms:W3CDTF">2026-01-08T09:53:00Z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0x0101005C0236549DF2CE438F3834698861A11A</vt:lpwstr>
  </property>
  <property fmtid="{D5CDD505-2E9C-101B-9397-08002B2CF9AE}" pid="3" name="MediaServiceImageTags">
    <vt:lpwstr/>
  </property>
</Properties>
</file>