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1E52" w14:textId="164C9026" w:rsidR="001F1A99" w:rsidRPr="00412BE5" w:rsidRDefault="001F1A99" w:rsidP="00842A65">
      <w:pPr>
        <w:spacing w:before="100" w:beforeAutospacing="1" w:after="100" w:afterAutospacing="1" w:line="240" w:lineRule="auto"/>
        <w:outlineLvl w:val="0"/>
        <w:rPr>
          <w:rFonts w:ascii="SQUARE 721 BT" w:eastAsia="Times New Roman" w:hAnsi="SQUARE 721 BT" w:cs="Times New Roman"/>
          <w:b/>
          <w:bCs/>
          <w:color w:val="EE0000"/>
          <w:kern w:val="36"/>
          <w:sz w:val="48"/>
          <w:szCs w:val="48"/>
          <w:lang w:val="en-IE" w:eastAsia="en-GB"/>
          <w14:ligatures w14:val="none"/>
        </w:rPr>
      </w:pPr>
      <w:r w:rsidRPr="00412BE5">
        <w:rPr>
          <w:rFonts w:ascii="SQUARE 721 BT" w:eastAsia="Times New Roman" w:hAnsi="SQUARE 721 BT" w:cs="Times New Roman"/>
          <w:b/>
          <w:bCs/>
          <w:color w:val="EE0000"/>
          <w:kern w:val="36"/>
          <w:sz w:val="48"/>
          <w:szCs w:val="48"/>
          <w:lang w:val="en-IE" w:eastAsia="en-GB"/>
          <w14:ligatures w14:val="none"/>
        </w:rPr>
        <w:t>Note for Designer:</w:t>
      </w:r>
    </w:p>
    <w:p w14:paraId="2633E5AE" w14:textId="769814BA" w:rsidR="001F1A99" w:rsidRPr="00412BE5" w:rsidRDefault="00412BE5" w:rsidP="00842A65">
      <w:pPr>
        <w:spacing w:before="100" w:beforeAutospacing="1" w:after="100" w:afterAutospacing="1" w:line="240" w:lineRule="auto"/>
        <w:outlineLvl w:val="0"/>
        <w:rPr>
          <w:rFonts w:ascii="SQUARE 721 BT" w:eastAsia="Times New Roman" w:hAnsi="SQUARE 721 BT" w:cs="Times New Roman"/>
          <w:b/>
          <w:bCs/>
          <w:color w:val="EE0000"/>
          <w:kern w:val="36"/>
          <w:sz w:val="48"/>
          <w:szCs w:val="48"/>
          <w:lang w:val="en-IE" w:eastAsia="en-GB"/>
          <w14:ligatures w14:val="none"/>
        </w:rPr>
      </w:pPr>
      <w:r w:rsidRPr="00412BE5">
        <w:rPr>
          <w:rFonts w:ascii="SQUARE 721 BT" w:eastAsia="Times New Roman" w:hAnsi="SQUARE 721 BT" w:cs="Times New Roman"/>
          <w:b/>
          <w:bCs/>
          <w:color w:val="EE0000"/>
          <w:kern w:val="36"/>
          <w:sz w:val="48"/>
          <w:szCs w:val="48"/>
          <w:lang w:val="en-IE" w:eastAsia="en-GB"/>
          <w14:ligatures w14:val="none"/>
        </w:rPr>
        <w:t xml:space="preserve">This new brochure is for the same target market as the course training brochure you created design ref: </w:t>
      </w:r>
      <w:r w:rsidRPr="00412BE5">
        <w:rPr>
          <w:rFonts w:ascii="SQUARE 721 BT" w:eastAsia="Times New Roman" w:hAnsi="SQUARE 721 BT" w:cs="Times New Roman"/>
          <w:b/>
          <w:bCs/>
          <w:color w:val="EE0000"/>
          <w:kern w:val="36"/>
          <w:sz w:val="48"/>
          <w:szCs w:val="48"/>
          <w:lang w:val="en-IE" w:eastAsia="en-GB"/>
          <w14:ligatures w14:val="none"/>
        </w:rPr>
        <w:t>36013544</w:t>
      </w:r>
    </w:p>
    <w:p w14:paraId="48573509" w14:textId="1462083C" w:rsidR="001F1A99" w:rsidRDefault="00412BE5"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r w:rsidRPr="00412BE5">
        <w:rPr>
          <w:rFonts w:ascii="SQUARE 721 BT" w:eastAsia="Times New Roman" w:hAnsi="SQUARE 721 BT" w:cs="Times New Roman"/>
          <w:b/>
          <w:bCs/>
          <w:color w:val="EE0000"/>
          <w:kern w:val="36"/>
          <w:sz w:val="48"/>
          <w:szCs w:val="48"/>
          <w:lang w:val="en-IE" w:eastAsia="en-GB"/>
          <w14:ligatures w14:val="none"/>
        </w:rPr>
        <w:t>Therefore the look and feel can be similar and you could even reuse some graphics. The service is also partnered with ILCU so you can use their logo too. Here is the text below for the brochure. I need an A4 PDF I can email to people. I imagine/estimate  this will be probably 8 pages</w:t>
      </w:r>
      <w:r>
        <w:rPr>
          <w:rFonts w:ascii="SQUARE 721 BT" w:eastAsia="Times New Roman" w:hAnsi="SQUARE 721 BT" w:cs="Times New Roman"/>
          <w:b/>
          <w:bCs/>
          <w:kern w:val="36"/>
          <w:sz w:val="48"/>
          <w:szCs w:val="48"/>
          <w:lang w:val="en-IE" w:eastAsia="en-GB"/>
          <w14:ligatures w14:val="none"/>
        </w:rPr>
        <w:br/>
      </w:r>
      <w:r>
        <w:rPr>
          <w:rFonts w:ascii="SQUARE 721 BT" w:eastAsia="Times New Roman" w:hAnsi="SQUARE 721 BT" w:cs="Times New Roman"/>
          <w:b/>
          <w:bCs/>
          <w:kern w:val="36"/>
          <w:sz w:val="48"/>
          <w:szCs w:val="48"/>
          <w:lang w:val="en-IE" w:eastAsia="en-GB"/>
          <w14:ligatures w14:val="none"/>
        </w:rPr>
        <w:br/>
      </w:r>
    </w:p>
    <w:p w14:paraId="05BCA5F9" w14:textId="77777777" w:rsidR="00412BE5" w:rsidRDefault="00412BE5"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p>
    <w:p w14:paraId="4A7FE936" w14:textId="77777777" w:rsidR="00412BE5" w:rsidRDefault="00412BE5"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p>
    <w:p w14:paraId="535A2802" w14:textId="77777777" w:rsidR="00412BE5" w:rsidRDefault="00412BE5"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p>
    <w:p w14:paraId="4345B4C7" w14:textId="77777777" w:rsidR="001F1A99" w:rsidRDefault="001F1A99"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p>
    <w:p w14:paraId="612C0BDE" w14:textId="77777777" w:rsidR="001F1A99" w:rsidRDefault="001F1A99"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p>
    <w:p w14:paraId="1D40CCEC" w14:textId="643505CA" w:rsidR="00842A65" w:rsidRPr="00842A65" w:rsidRDefault="00842A65" w:rsidP="00842A65">
      <w:pPr>
        <w:spacing w:before="100" w:beforeAutospacing="1" w:after="100" w:afterAutospacing="1" w:line="240" w:lineRule="auto"/>
        <w:outlineLvl w:val="0"/>
        <w:rPr>
          <w:rFonts w:ascii="SQUARE 721 BT" w:eastAsia="Times New Roman" w:hAnsi="SQUARE 721 BT" w:cs="Times New Roman"/>
          <w:b/>
          <w:bCs/>
          <w:kern w:val="36"/>
          <w:sz w:val="48"/>
          <w:szCs w:val="48"/>
          <w:lang w:val="en-IE" w:eastAsia="en-GB"/>
          <w14:ligatures w14:val="none"/>
        </w:rPr>
      </w:pPr>
      <w:r w:rsidRPr="00842A65">
        <w:rPr>
          <w:rFonts w:ascii="SQUARE 721 BT" w:eastAsia="Times New Roman" w:hAnsi="SQUARE 721 BT" w:cs="Times New Roman"/>
          <w:b/>
          <w:bCs/>
          <w:kern w:val="36"/>
          <w:sz w:val="48"/>
          <w:szCs w:val="48"/>
          <w:lang w:val="en-IE" w:eastAsia="en-GB"/>
          <w14:ligatures w14:val="none"/>
        </w:rPr>
        <w:t>DORA CU Compliance Community</w:t>
      </w:r>
    </w:p>
    <w:p w14:paraId="5A022B69"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i/>
          <w:iCs/>
          <w:kern w:val="0"/>
          <w:lang w:val="en-IE" w:eastAsia="en-GB"/>
          <w14:ligatures w14:val="none"/>
        </w:rPr>
        <w:t>A tailored digital resilience service for Irish credit unions, delivered by CRI with the Irish League of Credit Unions (ILCU)</w:t>
      </w:r>
    </w:p>
    <w:p w14:paraId="20484565" w14:textId="0773B060" w:rsidR="00842A65" w:rsidRPr="00EA1B88" w:rsidRDefault="00842A65" w:rsidP="00842A65">
      <w:pPr>
        <w:spacing w:after="0" w:line="240" w:lineRule="auto"/>
        <w:rPr>
          <w:rFonts w:ascii="SQUARE 721 BT" w:eastAsia="Times New Roman" w:hAnsi="SQUARE 721 BT" w:cs="Times New Roman"/>
          <w:kern w:val="0"/>
          <w:lang w:val="en-IE" w:eastAsia="en-GB"/>
          <w14:ligatures w14:val="none"/>
        </w:rPr>
      </w:pPr>
    </w:p>
    <w:p w14:paraId="2B5F608A" w14:textId="77777777" w:rsidR="00D70D14" w:rsidRPr="00EA1B88" w:rsidRDefault="00D70D14" w:rsidP="00842A65">
      <w:pPr>
        <w:spacing w:after="0" w:line="240" w:lineRule="auto"/>
        <w:rPr>
          <w:rFonts w:ascii="SQUARE 721 BT" w:eastAsia="Times New Roman" w:hAnsi="SQUARE 721 BT" w:cs="Times New Roman"/>
          <w:kern w:val="0"/>
          <w:lang w:val="en-IE" w:eastAsia="en-GB"/>
          <w14:ligatures w14:val="none"/>
        </w:rPr>
      </w:pPr>
    </w:p>
    <w:p w14:paraId="2E6F31FD" w14:textId="77777777" w:rsidR="00D70D14" w:rsidRPr="00EA1B88" w:rsidRDefault="00D70D14" w:rsidP="00842A65">
      <w:pPr>
        <w:spacing w:after="0" w:line="240" w:lineRule="auto"/>
        <w:rPr>
          <w:rFonts w:ascii="SQUARE 721 BT" w:eastAsia="Times New Roman" w:hAnsi="SQUARE 721 BT" w:cs="Times New Roman"/>
          <w:kern w:val="0"/>
          <w:lang w:val="en-IE" w:eastAsia="en-GB"/>
          <w14:ligatures w14:val="none"/>
        </w:rPr>
      </w:pPr>
    </w:p>
    <w:p w14:paraId="1EE4BFFF" w14:textId="77777777" w:rsidR="00D70D14" w:rsidRPr="00EA1B88" w:rsidRDefault="00D70D14" w:rsidP="00842A65">
      <w:pPr>
        <w:spacing w:after="0" w:line="240" w:lineRule="auto"/>
        <w:rPr>
          <w:rFonts w:ascii="SQUARE 721 BT" w:eastAsia="Times New Roman" w:hAnsi="SQUARE 721 BT" w:cs="Times New Roman"/>
          <w:kern w:val="0"/>
          <w:lang w:val="en-IE" w:eastAsia="en-GB"/>
          <w14:ligatures w14:val="none"/>
        </w:rPr>
      </w:pPr>
    </w:p>
    <w:p w14:paraId="313388D3" w14:textId="77777777" w:rsidR="00D70D14" w:rsidRPr="00EA1B88" w:rsidRDefault="00D70D14" w:rsidP="00842A65">
      <w:pPr>
        <w:spacing w:after="0" w:line="240" w:lineRule="auto"/>
        <w:rPr>
          <w:rFonts w:ascii="SQUARE 721 BT" w:eastAsia="Times New Roman" w:hAnsi="SQUARE 721 BT" w:cs="Times New Roman"/>
          <w:kern w:val="0"/>
          <w:lang w:val="en-IE" w:eastAsia="en-GB"/>
          <w14:ligatures w14:val="none"/>
        </w:rPr>
      </w:pPr>
    </w:p>
    <w:p w14:paraId="39624E88" w14:textId="77777777" w:rsidR="00D70D14" w:rsidRPr="00EA1B88" w:rsidRDefault="00D70D14" w:rsidP="00842A65">
      <w:pPr>
        <w:spacing w:after="0" w:line="240" w:lineRule="auto"/>
        <w:rPr>
          <w:rFonts w:ascii="SQUARE 721 BT" w:eastAsia="Times New Roman" w:hAnsi="SQUARE 721 BT" w:cs="Times New Roman"/>
          <w:kern w:val="0"/>
          <w:lang w:val="en-IE" w:eastAsia="en-GB"/>
          <w14:ligatures w14:val="none"/>
        </w:rPr>
      </w:pPr>
    </w:p>
    <w:p w14:paraId="3825F5C4" w14:textId="77777777" w:rsidR="00D70D14" w:rsidRPr="00EA1B88" w:rsidRDefault="00D70D14" w:rsidP="00842A65">
      <w:pPr>
        <w:spacing w:after="0" w:line="240" w:lineRule="auto"/>
        <w:rPr>
          <w:rFonts w:ascii="SQUARE 721 BT" w:eastAsia="Times New Roman" w:hAnsi="SQUARE 721 BT" w:cs="Times New Roman"/>
          <w:kern w:val="0"/>
          <w:lang w:val="en-IE" w:eastAsia="en-GB"/>
          <w14:ligatures w14:val="none"/>
        </w:rPr>
      </w:pPr>
    </w:p>
    <w:p w14:paraId="255E401A" w14:textId="77777777" w:rsidR="00D70D14" w:rsidRPr="00842A65" w:rsidRDefault="00D70D14" w:rsidP="00842A65">
      <w:pPr>
        <w:spacing w:after="0" w:line="240" w:lineRule="auto"/>
        <w:rPr>
          <w:rFonts w:ascii="SQUARE 721 BT" w:eastAsia="Times New Roman" w:hAnsi="SQUARE 721 BT" w:cs="Times New Roman"/>
          <w:kern w:val="0"/>
          <w:lang w:val="en-IE" w:eastAsia="en-GB"/>
          <w14:ligatures w14:val="none"/>
        </w:rPr>
      </w:pPr>
    </w:p>
    <w:p w14:paraId="0F9AFCE6" w14:textId="56E6F70F"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The Challenge – Why This Matters</w:t>
      </w:r>
    </w:p>
    <w:p w14:paraId="47E4C8CA"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 xml:space="preserve">The </w:t>
      </w:r>
      <w:r w:rsidRPr="00842A65">
        <w:rPr>
          <w:rFonts w:ascii="SQUARE 721 BT" w:eastAsia="Times New Roman" w:hAnsi="SQUARE 721 BT" w:cs="Times New Roman"/>
          <w:b/>
          <w:bCs/>
          <w:kern w:val="0"/>
          <w:lang w:val="en-IE" w:eastAsia="en-GB"/>
          <w14:ligatures w14:val="none"/>
        </w:rPr>
        <w:t>Digital Operational Resilience Act (DORA)</w:t>
      </w:r>
      <w:r w:rsidRPr="00842A65">
        <w:rPr>
          <w:rFonts w:ascii="SQUARE 721 BT" w:eastAsia="Times New Roman" w:hAnsi="SQUARE 721 BT" w:cs="Times New Roman"/>
          <w:kern w:val="0"/>
          <w:lang w:val="en-IE" w:eastAsia="en-GB"/>
          <w14:ligatures w14:val="none"/>
        </w:rPr>
        <w:t xml:space="preserve"> is now law. Every credit union must be compliant by </w:t>
      </w:r>
      <w:r w:rsidRPr="00842A65">
        <w:rPr>
          <w:rFonts w:ascii="SQUARE 721 BT" w:eastAsia="Times New Roman" w:hAnsi="SQUARE 721 BT" w:cs="Times New Roman"/>
          <w:b/>
          <w:bCs/>
          <w:kern w:val="0"/>
          <w:lang w:val="en-IE" w:eastAsia="en-GB"/>
          <w14:ligatures w14:val="none"/>
        </w:rPr>
        <w:t>17 January 2028</w:t>
      </w:r>
      <w:r w:rsidRPr="00842A65">
        <w:rPr>
          <w:rFonts w:ascii="SQUARE 721 BT" w:eastAsia="Times New Roman" w:hAnsi="SQUARE 721 BT" w:cs="Times New Roman"/>
          <w:kern w:val="0"/>
          <w:lang w:val="en-IE" w:eastAsia="en-GB"/>
          <w14:ligatures w14:val="none"/>
        </w:rPr>
        <w:t>.</w:t>
      </w:r>
    </w:p>
    <w:p w14:paraId="2EF7C0EE"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 xml:space="preserve">The </w:t>
      </w:r>
      <w:r w:rsidRPr="00842A65">
        <w:rPr>
          <w:rFonts w:ascii="SQUARE 721 BT" w:eastAsia="Times New Roman" w:hAnsi="SQUARE 721 BT" w:cs="Times New Roman"/>
          <w:b/>
          <w:bCs/>
          <w:kern w:val="0"/>
          <w:lang w:val="en-IE" w:eastAsia="en-GB"/>
          <w14:ligatures w14:val="none"/>
        </w:rPr>
        <w:t>Central Bank of Ireland’s IT Risk Thematic Review (2024–2025)</w:t>
      </w:r>
      <w:r w:rsidRPr="00842A65">
        <w:rPr>
          <w:rFonts w:ascii="SQUARE 721 BT" w:eastAsia="Times New Roman" w:hAnsi="SQUARE 721 BT" w:cs="Times New Roman"/>
          <w:kern w:val="0"/>
          <w:lang w:val="en-IE" w:eastAsia="en-GB"/>
          <w14:ligatures w14:val="none"/>
        </w:rPr>
        <w:t xml:space="preserve"> has already highlighted weaknesses in ICT governance and oversight across the sector.</w:t>
      </w:r>
    </w:p>
    <w:p w14:paraId="71B1323D"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And critically:</w:t>
      </w:r>
    </w:p>
    <w:p w14:paraId="35E14ED0"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Did You Know?</w:t>
      </w:r>
      <w:r w:rsidRPr="00842A65">
        <w:rPr>
          <w:rFonts w:ascii="SQUARE 721 BT" w:eastAsia="Times New Roman" w:hAnsi="SQUARE 721 BT" w:cs="Times New Roman"/>
          <w:kern w:val="0"/>
          <w:lang w:val="en-IE" w:eastAsia="en-GB"/>
          <w14:ligatures w14:val="none"/>
        </w:rPr>
        <w:br/>
        <w:t xml:space="preserve">Under </w:t>
      </w:r>
      <w:r w:rsidRPr="00842A65">
        <w:rPr>
          <w:rFonts w:ascii="SQUARE 721 BT" w:eastAsia="Times New Roman" w:hAnsi="SQUARE 721 BT" w:cs="Times New Roman"/>
          <w:b/>
          <w:bCs/>
          <w:kern w:val="0"/>
          <w:lang w:val="en-IE" w:eastAsia="en-GB"/>
          <w14:ligatures w14:val="none"/>
        </w:rPr>
        <w:t>Article 5 of DORA</w:t>
      </w:r>
      <w:r w:rsidRPr="00842A65">
        <w:rPr>
          <w:rFonts w:ascii="SQUARE 721 BT" w:eastAsia="Times New Roman" w:hAnsi="SQUARE 721 BT" w:cs="Times New Roman"/>
          <w:kern w:val="0"/>
          <w:lang w:val="en-IE" w:eastAsia="en-GB"/>
          <w14:ligatures w14:val="none"/>
        </w:rPr>
        <w:t xml:space="preserve">, your board of directors is </w:t>
      </w:r>
      <w:r w:rsidRPr="00842A65">
        <w:rPr>
          <w:rFonts w:ascii="SQUARE 721 BT" w:eastAsia="Times New Roman" w:hAnsi="SQUARE 721 BT" w:cs="Times New Roman"/>
          <w:b/>
          <w:bCs/>
          <w:kern w:val="0"/>
          <w:lang w:val="en-IE" w:eastAsia="en-GB"/>
          <w14:ligatures w14:val="none"/>
        </w:rPr>
        <w:t>collectively and individually responsible</w:t>
      </w:r>
      <w:r w:rsidRPr="00842A65">
        <w:rPr>
          <w:rFonts w:ascii="SQUARE 721 BT" w:eastAsia="Times New Roman" w:hAnsi="SQUARE 721 BT" w:cs="Times New Roman"/>
          <w:kern w:val="0"/>
          <w:lang w:val="en-IE" w:eastAsia="en-GB"/>
          <w14:ligatures w14:val="none"/>
        </w:rPr>
        <w:t xml:space="preserve"> for ICT risk management.</w:t>
      </w:r>
    </w:p>
    <w:p w14:paraId="1F9956C2" w14:textId="77777777" w:rsidR="00842A65" w:rsidRPr="00842A65" w:rsidRDefault="00842A65" w:rsidP="00842A65">
      <w:pPr>
        <w:numPr>
          <w:ilvl w:val="0"/>
          <w:numId w:val="5"/>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You must approve and oversee ICT risk frameworks.</w:t>
      </w:r>
    </w:p>
    <w:p w14:paraId="58A2181B" w14:textId="77777777" w:rsidR="00842A65" w:rsidRPr="00842A65" w:rsidRDefault="00842A65" w:rsidP="00842A65">
      <w:pPr>
        <w:numPr>
          <w:ilvl w:val="0"/>
          <w:numId w:val="5"/>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You are accountable for ensuring adequate governance, resilience, and training.</w:t>
      </w:r>
    </w:p>
    <w:p w14:paraId="5D83B686" w14:textId="77777777" w:rsidR="00842A65" w:rsidRPr="00842A65" w:rsidRDefault="00842A65" w:rsidP="00842A65">
      <w:pPr>
        <w:numPr>
          <w:ilvl w:val="0"/>
          <w:numId w:val="5"/>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Regulatory scrutiny will focus directly on the board’s role.</w:t>
      </w:r>
    </w:p>
    <w:p w14:paraId="20FE100B"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 xml:space="preserve">This is not just an IT challenge. It is a </w:t>
      </w:r>
      <w:r w:rsidRPr="00842A65">
        <w:rPr>
          <w:rFonts w:ascii="SQUARE 721 BT" w:eastAsia="Times New Roman" w:hAnsi="SQUARE 721 BT" w:cs="Times New Roman"/>
          <w:b/>
          <w:bCs/>
          <w:kern w:val="0"/>
          <w:lang w:val="en-IE" w:eastAsia="en-GB"/>
          <w14:ligatures w14:val="none"/>
        </w:rPr>
        <w:t>board-level responsibility</w:t>
      </w:r>
      <w:r w:rsidRPr="00842A65">
        <w:rPr>
          <w:rFonts w:ascii="SQUARE 721 BT" w:eastAsia="Times New Roman" w:hAnsi="SQUARE 721 BT" w:cs="Times New Roman"/>
          <w:kern w:val="0"/>
          <w:lang w:val="en-IE" w:eastAsia="en-GB"/>
          <w14:ligatures w14:val="none"/>
        </w:rPr>
        <w:t xml:space="preserve"> with personal and collective accountability.</w:t>
      </w:r>
    </w:p>
    <w:p w14:paraId="6DBA2EBF"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kern w:val="0"/>
          <w:lang w:val="en-IE" w:eastAsia="en-GB"/>
          <w14:ligatures w14:val="none"/>
        </w:rPr>
      </w:pPr>
    </w:p>
    <w:p w14:paraId="1367FA89"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kern w:val="0"/>
          <w:lang w:val="en-IE" w:eastAsia="en-GB"/>
          <w14:ligatures w14:val="none"/>
        </w:rPr>
      </w:pPr>
    </w:p>
    <w:p w14:paraId="6B621895"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kern w:val="0"/>
          <w:lang w:val="en-IE" w:eastAsia="en-GB"/>
          <w14:ligatures w14:val="none"/>
        </w:rPr>
      </w:pPr>
    </w:p>
    <w:p w14:paraId="4D715823"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478DC2FA"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09EE3A65"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7BB30328" w14:textId="247DD201"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The Solution – The DORA CU Compliance Community</w:t>
      </w:r>
    </w:p>
    <w:p w14:paraId="1D8D1BBB"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 xml:space="preserve">Together with the </w:t>
      </w:r>
      <w:r w:rsidRPr="00842A65">
        <w:rPr>
          <w:rFonts w:ascii="SQUARE 721 BT" w:eastAsia="Times New Roman" w:hAnsi="SQUARE 721 BT" w:cs="Times New Roman"/>
          <w:b/>
          <w:bCs/>
          <w:kern w:val="0"/>
          <w:lang w:val="en-IE" w:eastAsia="en-GB"/>
          <w14:ligatures w14:val="none"/>
        </w:rPr>
        <w:t>ILCU</w:t>
      </w:r>
      <w:r w:rsidRPr="00842A65">
        <w:rPr>
          <w:rFonts w:ascii="SQUARE 721 BT" w:eastAsia="Times New Roman" w:hAnsi="SQUARE 721 BT" w:cs="Times New Roman"/>
          <w:kern w:val="0"/>
          <w:lang w:val="en-IE" w:eastAsia="en-GB"/>
          <w14:ligatures w14:val="none"/>
        </w:rPr>
        <w:t xml:space="preserve">, CRI Cyber Risk International has created a </w:t>
      </w:r>
      <w:r w:rsidRPr="00842A65">
        <w:rPr>
          <w:rFonts w:ascii="SQUARE 721 BT" w:eastAsia="Times New Roman" w:hAnsi="SQUARE 721 BT" w:cs="Times New Roman"/>
          <w:b/>
          <w:bCs/>
          <w:kern w:val="0"/>
          <w:lang w:val="en-IE" w:eastAsia="en-GB"/>
          <w14:ligatures w14:val="none"/>
        </w:rPr>
        <w:t>tailored service exclusively for Irish credit unions</w:t>
      </w:r>
      <w:r w:rsidRPr="00842A65">
        <w:rPr>
          <w:rFonts w:ascii="SQUARE 721 BT" w:eastAsia="Times New Roman" w:hAnsi="SQUARE 721 BT" w:cs="Times New Roman"/>
          <w:kern w:val="0"/>
          <w:lang w:val="en-IE" w:eastAsia="en-GB"/>
          <w14:ligatures w14:val="none"/>
        </w:rPr>
        <w:t>.</w:t>
      </w:r>
    </w:p>
    <w:p w14:paraId="496D94B3"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 xml:space="preserve">By subscribing, your credit union gains </w:t>
      </w:r>
      <w:r w:rsidRPr="00842A65">
        <w:rPr>
          <w:rFonts w:ascii="SQUARE 721 BT" w:eastAsia="Times New Roman" w:hAnsi="SQUARE 721 BT" w:cs="Times New Roman"/>
          <w:b/>
          <w:bCs/>
          <w:kern w:val="0"/>
          <w:lang w:val="en-IE" w:eastAsia="en-GB"/>
          <w14:ligatures w14:val="none"/>
        </w:rPr>
        <w:t>annual access to a platform and a community of support</w:t>
      </w:r>
      <w:r w:rsidRPr="00842A65">
        <w:rPr>
          <w:rFonts w:ascii="SQUARE 721 BT" w:eastAsia="Times New Roman" w:hAnsi="SQUARE 721 BT" w:cs="Times New Roman"/>
          <w:kern w:val="0"/>
          <w:lang w:val="en-IE" w:eastAsia="en-GB"/>
          <w14:ligatures w14:val="none"/>
        </w:rPr>
        <w:t xml:space="preserve"> that makes compliance achievable, affordable, and regulator-aligned.</w:t>
      </w:r>
    </w:p>
    <w:p w14:paraId="0BEE609C" w14:textId="037D21E0" w:rsidR="00842A65" w:rsidRPr="00842A65" w:rsidRDefault="00D70D14" w:rsidP="00842A65">
      <w:pPr>
        <w:spacing w:before="100" w:beforeAutospacing="1" w:after="100" w:afterAutospacing="1" w:line="240" w:lineRule="auto"/>
        <w:outlineLvl w:val="2"/>
        <w:rPr>
          <w:rFonts w:ascii="SQUARE 721 BT" w:eastAsia="Times New Roman" w:hAnsi="SQUARE 721 BT" w:cs="Times New Roman"/>
          <w:b/>
          <w:bCs/>
          <w:kern w:val="0"/>
          <w:sz w:val="27"/>
          <w:szCs w:val="27"/>
          <w:lang w:val="en-IE" w:eastAsia="en-GB"/>
          <w14:ligatures w14:val="none"/>
        </w:rPr>
      </w:pPr>
      <w:r w:rsidRPr="00EA1B88">
        <w:rPr>
          <w:rFonts w:ascii="SQUARE 721 BT" w:eastAsia="Times New Roman" w:hAnsi="SQUARE 721 BT" w:cs="Times New Roman"/>
          <w:b/>
          <w:bCs/>
          <w:kern w:val="0"/>
          <w:sz w:val="27"/>
          <w:szCs w:val="27"/>
          <w:lang w:val="en-IE" w:eastAsia="en-GB"/>
          <w14:ligatures w14:val="none"/>
        </w:rPr>
        <w:t>Subscription</w:t>
      </w:r>
      <w:r w:rsidR="00842A65" w:rsidRPr="00842A65">
        <w:rPr>
          <w:rFonts w:ascii="SQUARE 721 BT" w:eastAsia="Times New Roman" w:hAnsi="SQUARE 721 BT" w:cs="Times New Roman"/>
          <w:b/>
          <w:bCs/>
          <w:kern w:val="0"/>
          <w:sz w:val="27"/>
          <w:szCs w:val="27"/>
          <w:lang w:val="en-IE" w:eastAsia="en-GB"/>
          <w14:ligatures w14:val="none"/>
        </w:rPr>
        <w:t xml:space="preserve"> Includes</w:t>
      </w:r>
    </w:p>
    <w:p w14:paraId="52FD0262"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CyberPrism CU Platform</w:t>
      </w:r>
      <w:r w:rsidRPr="00842A65">
        <w:rPr>
          <w:rFonts w:ascii="SQUARE 721 BT" w:eastAsia="Times New Roman" w:hAnsi="SQUARE 721 BT" w:cs="Times New Roman"/>
          <w:kern w:val="0"/>
          <w:lang w:val="en-IE" w:eastAsia="en-GB"/>
          <w14:ligatures w14:val="none"/>
        </w:rPr>
        <w:t xml:space="preserve"> – designed for Irish credit unions</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CU Advisor &amp; CBI Advisor (24/7 tools)</w:t>
      </w:r>
      <w:r w:rsidRPr="00842A65">
        <w:rPr>
          <w:rFonts w:ascii="SQUARE 721 BT" w:eastAsia="Times New Roman" w:hAnsi="SQUARE 721 BT" w:cs="Times New Roman"/>
          <w:kern w:val="0"/>
          <w:lang w:val="en-IE" w:eastAsia="en-GB"/>
          <w14:ligatures w14:val="none"/>
        </w:rPr>
        <w:t xml:space="preserve"> – plain-language support for boards and managers</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CBI IT Risk Review Dashboards</w:t>
      </w:r>
      <w:r w:rsidRPr="00842A65">
        <w:rPr>
          <w:rFonts w:ascii="SQUARE 721 BT" w:eastAsia="Times New Roman" w:hAnsi="SQUARE 721 BT" w:cs="Times New Roman"/>
          <w:kern w:val="0"/>
          <w:lang w:val="en-IE" w:eastAsia="en-GB"/>
          <w14:ligatures w14:val="none"/>
        </w:rPr>
        <w:t xml:space="preserve"> – aligned to 2024–2025 requirements</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Gap Analysis &amp; Roadmap Builder</w:t>
      </w:r>
      <w:r w:rsidRPr="00842A65">
        <w:rPr>
          <w:rFonts w:ascii="SQUARE 721 BT" w:eastAsia="Times New Roman" w:hAnsi="SQUARE 721 BT" w:cs="Times New Roman"/>
          <w:kern w:val="0"/>
          <w:lang w:val="en-IE" w:eastAsia="en-GB"/>
          <w14:ligatures w14:val="none"/>
        </w:rPr>
        <w:t xml:space="preserve"> – know your compliance status and what actions are required</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Monthly Group Advisory Sessions</w:t>
      </w:r>
      <w:r w:rsidRPr="00842A65">
        <w:rPr>
          <w:rFonts w:ascii="SQUARE 721 BT" w:eastAsia="Times New Roman" w:hAnsi="SQUARE 721 BT" w:cs="Times New Roman"/>
          <w:kern w:val="0"/>
          <w:lang w:val="en-IE" w:eastAsia="en-GB"/>
          <w14:ligatures w14:val="none"/>
        </w:rPr>
        <w:t xml:space="preserve"> – updates and guidance from CRI Elite Advisors</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Education Discounts</w:t>
      </w:r>
      <w:r w:rsidRPr="00842A65">
        <w:rPr>
          <w:rFonts w:ascii="SQUARE 721 BT" w:eastAsia="Times New Roman" w:hAnsi="SQUARE 721 BT" w:cs="Times New Roman"/>
          <w:kern w:val="0"/>
          <w:lang w:val="en-IE" w:eastAsia="en-GB"/>
          <w14:ligatures w14:val="none"/>
        </w:rPr>
        <w:t xml:space="preserve"> – 50% off EU Cyber Academy training (CCRO, CCRS, DCCS, NCSE, NIS2 Professional)</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b/>
          <w:bCs/>
          <w:kern w:val="0"/>
          <w:lang w:val="en-IE" w:eastAsia="en-GB"/>
          <w14:ligatures w14:val="none"/>
        </w:rPr>
        <w:t>Optional Add-Ons</w:t>
      </w:r>
      <w:r w:rsidRPr="00842A65">
        <w:rPr>
          <w:rFonts w:ascii="SQUARE 721 BT" w:eastAsia="Times New Roman" w:hAnsi="SQUARE 721 BT" w:cs="Times New Roman"/>
          <w:kern w:val="0"/>
          <w:lang w:val="en-IE" w:eastAsia="en-GB"/>
          <w14:ligatures w14:val="none"/>
        </w:rPr>
        <w:t xml:space="preserve"> –</w:t>
      </w:r>
    </w:p>
    <w:p w14:paraId="4F514EE7" w14:textId="77777777" w:rsidR="00842A65" w:rsidRPr="00842A65" w:rsidRDefault="00842A65" w:rsidP="00842A65">
      <w:pPr>
        <w:numPr>
          <w:ilvl w:val="0"/>
          <w:numId w:val="6"/>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Private advisory and board workshops</w:t>
      </w:r>
    </w:p>
    <w:p w14:paraId="7D4CE3EF" w14:textId="77777777" w:rsidR="00842A65" w:rsidRPr="00842A65" w:rsidRDefault="00842A65" w:rsidP="00842A65">
      <w:pPr>
        <w:numPr>
          <w:ilvl w:val="0"/>
          <w:numId w:val="6"/>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Bespoke resilience assessments</w:t>
      </w:r>
    </w:p>
    <w:p w14:paraId="09D136DF" w14:textId="77777777" w:rsidR="00842A65" w:rsidRPr="00842A65" w:rsidRDefault="00842A65" w:rsidP="00842A65">
      <w:pPr>
        <w:numPr>
          <w:ilvl w:val="0"/>
          <w:numId w:val="6"/>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Third-Party Risk Assessments</w:t>
      </w:r>
      <w:r w:rsidRPr="00842A65">
        <w:rPr>
          <w:rFonts w:ascii="SQUARE 721 BT" w:eastAsia="Times New Roman" w:hAnsi="SQUARE 721 BT" w:cs="Times New Roman"/>
          <w:kern w:val="0"/>
          <w:lang w:val="en-IE" w:eastAsia="en-GB"/>
          <w14:ligatures w14:val="none"/>
        </w:rPr>
        <w:t xml:space="preserve"> – evaluate the digital resilience of your critical ICT providers to meet DORA outsourcing obligations</w:t>
      </w:r>
    </w:p>
    <w:p w14:paraId="3A32C3FB" w14:textId="72894598" w:rsidR="00842A65" w:rsidRPr="00EA1B88" w:rsidRDefault="00842A65" w:rsidP="00842A65">
      <w:pPr>
        <w:spacing w:after="0" w:line="240" w:lineRule="auto"/>
        <w:rPr>
          <w:rFonts w:ascii="SQUARE 721 BT" w:eastAsia="Times New Roman" w:hAnsi="SQUARE 721 BT" w:cs="Times New Roman"/>
          <w:kern w:val="0"/>
          <w:lang w:val="en-IE" w:eastAsia="en-GB"/>
          <w14:ligatures w14:val="none"/>
        </w:rPr>
      </w:pPr>
    </w:p>
    <w:p w14:paraId="069DE193" w14:textId="77777777" w:rsidR="00D70D14" w:rsidRPr="00842A65" w:rsidRDefault="00D70D14" w:rsidP="00842A65">
      <w:pPr>
        <w:spacing w:after="0" w:line="240" w:lineRule="auto"/>
        <w:rPr>
          <w:rFonts w:ascii="SQUARE 721 BT" w:eastAsia="Times New Roman" w:hAnsi="SQUARE 721 BT" w:cs="Times New Roman"/>
          <w:kern w:val="0"/>
          <w:lang w:val="en-IE" w:eastAsia="en-GB"/>
          <w14:ligatures w14:val="none"/>
        </w:rPr>
      </w:pPr>
    </w:p>
    <w:p w14:paraId="45AE0DF7"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0B77ECC7"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65A84C4A"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4B4C26BC"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3F05E7C9"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0B5CB9DF"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3D06D971"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3F770ED0"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48954C26" w14:textId="4AD0987F"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What is CyberPrism?</w:t>
      </w:r>
    </w:p>
    <w:p w14:paraId="22973116"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i/>
          <w:iCs/>
          <w:kern w:val="0"/>
          <w:lang w:val="en-IE" w:eastAsia="en-GB"/>
          <w14:ligatures w14:val="none"/>
        </w:rPr>
        <w:t>Not just intelligent-powered software – a full service for credit unions</w:t>
      </w:r>
    </w:p>
    <w:p w14:paraId="1D42E652" w14:textId="65A9D51D"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 xml:space="preserve">CyberPrism is a </w:t>
      </w:r>
      <w:r w:rsidRPr="00842A65">
        <w:rPr>
          <w:rFonts w:ascii="SQUARE 721 BT" w:eastAsia="Times New Roman" w:hAnsi="SQUARE 721 BT" w:cs="Times New Roman"/>
          <w:b/>
          <w:bCs/>
          <w:kern w:val="0"/>
          <w:lang w:val="en-IE" w:eastAsia="en-GB"/>
          <w14:ligatures w14:val="none"/>
        </w:rPr>
        <w:t xml:space="preserve">secure, </w:t>
      </w:r>
      <w:r w:rsidR="00866648">
        <w:rPr>
          <w:rFonts w:ascii="SQUARE 721 BT" w:eastAsia="Times New Roman" w:hAnsi="SQUARE 721 BT" w:cs="Times New Roman"/>
          <w:b/>
          <w:bCs/>
          <w:kern w:val="0"/>
          <w:lang w:val="en-IE" w:eastAsia="en-GB"/>
          <w14:ligatures w14:val="none"/>
        </w:rPr>
        <w:t xml:space="preserve">multi award winning </w:t>
      </w:r>
      <w:r w:rsidRPr="00842A65">
        <w:rPr>
          <w:rFonts w:ascii="SQUARE 721 BT" w:eastAsia="Times New Roman" w:hAnsi="SQUARE 721 BT" w:cs="Times New Roman"/>
          <w:b/>
          <w:bCs/>
          <w:kern w:val="0"/>
          <w:lang w:val="en-IE" w:eastAsia="en-GB"/>
          <w14:ligatures w14:val="none"/>
        </w:rPr>
        <w:t>cloud-based service</w:t>
      </w:r>
      <w:r w:rsidRPr="00842A65">
        <w:rPr>
          <w:rFonts w:ascii="SQUARE 721 BT" w:eastAsia="Times New Roman" w:hAnsi="SQUARE 721 BT" w:cs="Times New Roman"/>
          <w:kern w:val="0"/>
          <w:lang w:val="en-IE" w:eastAsia="en-GB"/>
          <w14:ligatures w14:val="none"/>
        </w:rPr>
        <w:t xml:space="preserve"> built to help credit unions meet regulatory expectations while managing costs and complexity.</w:t>
      </w:r>
    </w:p>
    <w:p w14:paraId="2A8A9CA6" w14:textId="77777777" w:rsidR="00842A65" w:rsidRPr="00842A65" w:rsidRDefault="00842A65" w:rsidP="00842A65">
      <w:pPr>
        <w:spacing w:before="100" w:beforeAutospacing="1" w:after="100" w:afterAutospacing="1" w:line="240" w:lineRule="auto"/>
        <w:outlineLvl w:val="2"/>
        <w:rPr>
          <w:rFonts w:ascii="SQUARE 721 BT" w:eastAsia="Times New Roman" w:hAnsi="SQUARE 721 BT" w:cs="Times New Roman"/>
          <w:b/>
          <w:bCs/>
          <w:kern w:val="0"/>
          <w:sz w:val="27"/>
          <w:szCs w:val="27"/>
          <w:lang w:val="en-IE" w:eastAsia="en-GB"/>
          <w14:ligatures w14:val="none"/>
        </w:rPr>
      </w:pPr>
      <w:r w:rsidRPr="00842A65">
        <w:rPr>
          <w:rFonts w:ascii="SQUARE 721 BT" w:eastAsia="Times New Roman" w:hAnsi="SQUARE 721 BT" w:cs="Times New Roman"/>
          <w:b/>
          <w:bCs/>
          <w:kern w:val="0"/>
          <w:sz w:val="27"/>
          <w:szCs w:val="27"/>
          <w:lang w:val="en-IE" w:eastAsia="en-GB"/>
          <w14:ligatures w14:val="none"/>
        </w:rPr>
        <w:t>What It Does for You</w:t>
      </w:r>
    </w:p>
    <w:p w14:paraId="22A86360"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Assess Your Status</w:t>
      </w:r>
      <w:r w:rsidRPr="00842A65">
        <w:rPr>
          <w:rFonts w:ascii="SQUARE 721 BT" w:eastAsia="Times New Roman" w:hAnsi="SQUARE 721 BT" w:cs="Times New Roman"/>
          <w:kern w:val="0"/>
          <w:lang w:val="en-IE" w:eastAsia="en-GB"/>
          <w14:ligatures w14:val="none"/>
        </w:rPr>
        <w:t xml:space="preserve"> – quickly see where you stand on DORA compliance.</w:t>
      </w:r>
    </w:p>
    <w:p w14:paraId="30F90FE6"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Build Your Roadmap</w:t>
      </w:r>
      <w:r w:rsidRPr="00842A65">
        <w:rPr>
          <w:rFonts w:ascii="SQUARE 721 BT" w:eastAsia="Times New Roman" w:hAnsi="SQUARE 721 BT" w:cs="Times New Roman"/>
          <w:kern w:val="0"/>
          <w:lang w:val="en-IE" w:eastAsia="en-GB"/>
          <w14:ligatures w14:val="none"/>
        </w:rPr>
        <w:t xml:space="preserve"> – generate a clear, regulator-aligned plan to 2028.</w:t>
      </w:r>
    </w:p>
    <w:p w14:paraId="5DE3C2F8"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Close the Gaps</w:t>
      </w:r>
      <w:r w:rsidRPr="00842A65">
        <w:rPr>
          <w:rFonts w:ascii="SQUARE 721 BT" w:eastAsia="Times New Roman" w:hAnsi="SQUARE 721 BT" w:cs="Times New Roman"/>
          <w:kern w:val="0"/>
          <w:lang w:val="en-IE" w:eastAsia="en-GB"/>
          <w14:ligatures w14:val="none"/>
        </w:rPr>
        <w:t xml:space="preserve"> – identify strengths, weaknesses, and areas for improvement.</w:t>
      </w:r>
    </w:p>
    <w:p w14:paraId="05BB8AD3"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Report with Confidence</w:t>
      </w:r>
      <w:r w:rsidRPr="00842A65">
        <w:rPr>
          <w:rFonts w:ascii="SQUARE 721 BT" w:eastAsia="Times New Roman" w:hAnsi="SQUARE 721 BT" w:cs="Times New Roman"/>
          <w:kern w:val="0"/>
          <w:lang w:val="en-IE" w:eastAsia="en-GB"/>
          <w14:ligatures w14:val="none"/>
        </w:rPr>
        <w:t xml:space="preserve"> – produce regulator-ready evidence for your board and the CBI.</w:t>
      </w:r>
    </w:p>
    <w:p w14:paraId="06C97541"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Monthly Access to Experts</w:t>
      </w:r>
      <w:r w:rsidRPr="00842A65">
        <w:rPr>
          <w:rFonts w:ascii="SQUARE 721 BT" w:eastAsia="Times New Roman" w:hAnsi="SQUARE 721 BT" w:cs="Times New Roman"/>
          <w:kern w:val="0"/>
          <w:lang w:val="en-IE" w:eastAsia="en-GB"/>
          <w14:ligatures w14:val="none"/>
        </w:rPr>
        <w:t xml:space="preserve"> – join advisory sessions with CRI Elite Advisors.</w:t>
      </w:r>
    </w:p>
    <w:p w14:paraId="79A405B8"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Flexible Support</w:t>
      </w:r>
      <w:r w:rsidRPr="00842A65">
        <w:rPr>
          <w:rFonts w:ascii="SQUARE 721 BT" w:eastAsia="Times New Roman" w:hAnsi="SQUARE 721 BT" w:cs="Times New Roman"/>
          <w:kern w:val="0"/>
          <w:lang w:val="en-IE" w:eastAsia="en-GB"/>
          <w14:ligatures w14:val="none"/>
        </w:rPr>
        <w:t xml:space="preserve"> – book private sessions if required.</w:t>
      </w:r>
    </w:p>
    <w:p w14:paraId="247C4C25" w14:textId="77777777" w:rsidR="00842A65" w:rsidRPr="00842A65" w:rsidRDefault="00842A65" w:rsidP="00842A65">
      <w:pPr>
        <w:numPr>
          <w:ilvl w:val="0"/>
          <w:numId w:val="7"/>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Education Built In</w:t>
      </w:r>
      <w:r w:rsidRPr="00842A65">
        <w:rPr>
          <w:rFonts w:ascii="SQUARE 721 BT" w:eastAsia="Times New Roman" w:hAnsi="SQUARE 721 BT" w:cs="Times New Roman"/>
          <w:kern w:val="0"/>
          <w:lang w:val="en-IE" w:eastAsia="en-GB"/>
          <w14:ligatures w14:val="none"/>
        </w:rPr>
        <w:t xml:space="preserve"> – 50% off accredited training ensures your board and team are empowered.</w:t>
      </w:r>
    </w:p>
    <w:p w14:paraId="4F81FB49"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CyberPrism is not just software. It’s a service — combining intelligent tools, expert advice, and flexible education to give your board the confidence and capability to meet its obligations.</w:t>
      </w:r>
    </w:p>
    <w:p w14:paraId="4892032D" w14:textId="558010C3"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p>
    <w:p w14:paraId="375DDAA5"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75B54AC5"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43B27289"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5E4ECD13"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730D6C56"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1B35A457"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1D3B4FAB"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57D29B68"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43AF2092"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6D547DBC"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24909F27" w14:textId="30815988"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Pricing – Simple, Affordable, Fair</w:t>
      </w:r>
    </w:p>
    <w:p w14:paraId="5B3671C9"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i/>
          <w:iCs/>
          <w:kern w:val="0"/>
          <w:lang w:val="en-IE" w:eastAsia="en-GB"/>
          <w14:ligatures w14:val="none"/>
        </w:rPr>
        <w:t>All subscriptions are annual, billed in advance. Monthly costs shown are for illustration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7"/>
        <w:gridCol w:w="3485"/>
        <w:gridCol w:w="3008"/>
      </w:tblGrid>
      <w:tr w:rsidR="00842A65" w:rsidRPr="00842A65" w14:paraId="3519768A" w14:textId="77777777">
        <w:trPr>
          <w:tblHeader/>
          <w:tblCellSpacing w:w="15" w:type="dxa"/>
        </w:trPr>
        <w:tc>
          <w:tcPr>
            <w:tcW w:w="0" w:type="auto"/>
            <w:vAlign w:val="center"/>
            <w:hideMark/>
          </w:tcPr>
          <w:p w14:paraId="52B804F5" w14:textId="77777777" w:rsidR="00842A65" w:rsidRPr="00842A65" w:rsidRDefault="00842A65" w:rsidP="00842A65">
            <w:pPr>
              <w:spacing w:after="0" w:line="240" w:lineRule="auto"/>
              <w:jc w:val="center"/>
              <w:rPr>
                <w:rFonts w:ascii="SQUARE 721 BT" w:eastAsia="Times New Roman" w:hAnsi="SQUARE 721 BT" w:cs="Times New Roman"/>
                <w:b/>
                <w:bCs/>
                <w:kern w:val="0"/>
                <w:lang w:val="en-IE" w:eastAsia="en-GB"/>
                <w14:ligatures w14:val="none"/>
              </w:rPr>
            </w:pPr>
            <w:r w:rsidRPr="00842A65">
              <w:rPr>
                <w:rFonts w:ascii="SQUARE 721 BT" w:eastAsia="Times New Roman" w:hAnsi="SQUARE 721 BT" w:cs="Times New Roman"/>
                <w:b/>
                <w:bCs/>
                <w:kern w:val="0"/>
                <w:lang w:val="en-IE" w:eastAsia="en-GB"/>
                <w14:ligatures w14:val="none"/>
              </w:rPr>
              <w:t>CU Asset Size</w:t>
            </w:r>
          </w:p>
        </w:tc>
        <w:tc>
          <w:tcPr>
            <w:tcW w:w="0" w:type="auto"/>
            <w:vAlign w:val="center"/>
            <w:hideMark/>
          </w:tcPr>
          <w:p w14:paraId="78A31C24" w14:textId="77777777" w:rsidR="00842A65" w:rsidRPr="00842A65" w:rsidRDefault="00842A65" w:rsidP="00842A65">
            <w:pPr>
              <w:spacing w:after="0" w:line="240" w:lineRule="auto"/>
              <w:jc w:val="center"/>
              <w:rPr>
                <w:rFonts w:ascii="SQUARE 721 BT" w:eastAsia="Times New Roman" w:hAnsi="SQUARE 721 BT" w:cs="Times New Roman"/>
                <w:b/>
                <w:bCs/>
                <w:kern w:val="0"/>
                <w:lang w:val="en-IE" w:eastAsia="en-GB"/>
                <w14:ligatures w14:val="none"/>
              </w:rPr>
            </w:pPr>
            <w:r w:rsidRPr="00842A65">
              <w:rPr>
                <w:rFonts w:ascii="SQUARE 721 BT" w:eastAsia="Times New Roman" w:hAnsi="SQUARE 721 BT" w:cs="Times New Roman"/>
                <w:b/>
                <w:bCs/>
                <w:kern w:val="0"/>
                <w:lang w:val="en-IE" w:eastAsia="en-GB"/>
                <w14:ligatures w14:val="none"/>
              </w:rPr>
              <w:t>Annual Fee (Paid in Advance)</w:t>
            </w:r>
          </w:p>
        </w:tc>
        <w:tc>
          <w:tcPr>
            <w:tcW w:w="0" w:type="auto"/>
            <w:vAlign w:val="center"/>
            <w:hideMark/>
          </w:tcPr>
          <w:p w14:paraId="247B9BEC" w14:textId="77777777" w:rsidR="00842A65" w:rsidRPr="00842A65" w:rsidRDefault="00842A65" w:rsidP="00842A65">
            <w:pPr>
              <w:spacing w:after="0" w:line="240" w:lineRule="auto"/>
              <w:jc w:val="center"/>
              <w:rPr>
                <w:rFonts w:ascii="SQUARE 721 BT" w:eastAsia="Times New Roman" w:hAnsi="SQUARE 721 BT" w:cs="Times New Roman"/>
                <w:b/>
                <w:bCs/>
                <w:kern w:val="0"/>
                <w:lang w:val="en-IE" w:eastAsia="en-GB"/>
                <w14:ligatures w14:val="none"/>
              </w:rPr>
            </w:pPr>
            <w:r w:rsidRPr="00842A65">
              <w:rPr>
                <w:rFonts w:ascii="SQUARE 721 BT" w:eastAsia="Times New Roman" w:hAnsi="SQUARE 721 BT" w:cs="Times New Roman"/>
                <w:b/>
                <w:bCs/>
                <w:kern w:val="0"/>
                <w:lang w:val="en-IE" w:eastAsia="en-GB"/>
                <w14:ligatures w14:val="none"/>
              </w:rPr>
              <w:t>Equivalent Monthly Cost</w:t>
            </w:r>
          </w:p>
        </w:tc>
      </w:tr>
      <w:tr w:rsidR="00842A65" w:rsidRPr="00842A65" w14:paraId="18BC48E6" w14:textId="77777777">
        <w:trPr>
          <w:tblCellSpacing w:w="15" w:type="dxa"/>
        </w:trPr>
        <w:tc>
          <w:tcPr>
            <w:tcW w:w="0" w:type="auto"/>
            <w:vAlign w:val="center"/>
            <w:hideMark/>
          </w:tcPr>
          <w:p w14:paraId="2CE562C0"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&lt; €50m</w:t>
            </w:r>
          </w:p>
        </w:tc>
        <w:tc>
          <w:tcPr>
            <w:tcW w:w="0" w:type="auto"/>
            <w:vAlign w:val="center"/>
            <w:hideMark/>
          </w:tcPr>
          <w:p w14:paraId="770A38B0"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€6,000</w:t>
            </w:r>
          </w:p>
        </w:tc>
        <w:tc>
          <w:tcPr>
            <w:tcW w:w="0" w:type="auto"/>
            <w:vAlign w:val="center"/>
            <w:hideMark/>
          </w:tcPr>
          <w:p w14:paraId="5E2DA914"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€500</w:t>
            </w:r>
          </w:p>
        </w:tc>
      </w:tr>
      <w:tr w:rsidR="00842A65" w:rsidRPr="00842A65" w14:paraId="225904E1" w14:textId="77777777">
        <w:trPr>
          <w:tblCellSpacing w:w="15" w:type="dxa"/>
        </w:trPr>
        <w:tc>
          <w:tcPr>
            <w:tcW w:w="0" w:type="auto"/>
            <w:vAlign w:val="center"/>
            <w:hideMark/>
          </w:tcPr>
          <w:p w14:paraId="0A4550DC"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€50m–€100m</w:t>
            </w:r>
          </w:p>
        </w:tc>
        <w:tc>
          <w:tcPr>
            <w:tcW w:w="0" w:type="auto"/>
            <w:vAlign w:val="center"/>
            <w:hideMark/>
          </w:tcPr>
          <w:p w14:paraId="203BCF55"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€9,000</w:t>
            </w:r>
          </w:p>
        </w:tc>
        <w:tc>
          <w:tcPr>
            <w:tcW w:w="0" w:type="auto"/>
            <w:vAlign w:val="center"/>
            <w:hideMark/>
          </w:tcPr>
          <w:p w14:paraId="318DA754"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€750</w:t>
            </w:r>
          </w:p>
        </w:tc>
      </w:tr>
      <w:tr w:rsidR="00842A65" w:rsidRPr="00842A65" w14:paraId="6178DE4A" w14:textId="77777777">
        <w:trPr>
          <w:tblCellSpacing w:w="15" w:type="dxa"/>
        </w:trPr>
        <w:tc>
          <w:tcPr>
            <w:tcW w:w="0" w:type="auto"/>
            <w:vAlign w:val="center"/>
            <w:hideMark/>
          </w:tcPr>
          <w:p w14:paraId="4C1CEA87"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€100m–€200m</w:t>
            </w:r>
          </w:p>
        </w:tc>
        <w:tc>
          <w:tcPr>
            <w:tcW w:w="0" w:type="auto"/>
            <w:vAlign w:val="center"/>
            <w:hideMark/>
          </w:tcPr>
          <w:p w14:paraId="0C5E1F21"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€12,000</w:t>
            </w:r>
          </w:p>
        </w:tc>
        <w:tc>
          <w:tcPr>
            <w:tcW w:w="0" w:type="auto"/>
            <w:vAlign w:val="center"/>
            <w:hideMark/>
          </w:tcPr>
          <w:p w14:paraId="11DCDF8D"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€1,000</w:t>
            </w:r>
          </w:p>
        </w:tc>
      </w:tr>
      <w:tr w:rsidR="00842A65" w:rsidRPr="00842A65" w14:paraId="31F2552E" w14:textId="77777777">
        <w:trPr>
          <w:tblCellSpacing w:w="15" w:type="dxa"/>
        </w:trPr>
        <w:tc>
          <w:tcPr>
            <w:tcW w:w="0" w:type="auto"/>
            <w:vAlign w:val="center"/>
            <w:hideMark/>
          </w:tcPr>
          <w:p w14:paraId="74F4B451"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&gt; €200m</w:t>
            </w:r>
          </w:p>
        </w:tc>
        <w:tc>
          <w:tcPr>
            <w:tcW w:w="0" w:type="auto"/>
            <w:vAlign w:val="center"/>
            <w:hideMark/>
          </w:tcPr>
          <w:p w14:paraId="6AB675CB"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€15,000</w:t>
            </w:r>
          </w:p>
        </w:tc>
        <w:tc>
          <w:tcPr>
            <w:tcW w:w="0" w:type="auto"/>
            <w:vAlign w:val="center"/>
            <w:hideMark/>
          </w:tcPr>
          <w:p w14:paraId="74D1DC03" w14:textId="7777777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€1,250</w:t>
            </w:r>
          </w:p>
        </w:tc>
      </w:tr>
    </w:tbl>
    <w:p w14:paraId="38BA8361" w14:textId="37A5B42C"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Every subscription includes: full platform access, CU/CBI Advisor</w:t>
      </w:r>
      <w:r w:rsidR="001F1A99">
        <w:rPr>
          <w:rFonts w:ascii="SQUARE 721 BT" w:eastAsia="Times New Roman" w:hAnsi="SQUARE 721 BT" w:cs="Times New Roman"/>
          <w:kern w:val="0"/>
          <w:lang w:val="en-IE" w:eastAsia="en-GB"/>
          <w14:ligatures w14:val="none"/>
        </w:rPr>
        <w:t xml:space="preserve"> Tools</w:t>
      </w:r>
      <w:r w:rsidRPr="00842A65">
        <w:rPr>
          <w:rFonts w:ascii="SQUARE 721 BT" w:eastAsia="Times New Roman" w:hAnsi="SQUARE 721 BT" w:cs="Times New Roman"/>
          <w:kern w:val="0"/>
          <w:lang w:val="en-IE" w:eastAsia="en-GB"/>
          <w14:ligatures w14:val="none"/>
        </w:rPr>
        <w:t>, dashboards, monthly group advisory sessions, and education discounts.</w:t>
      </w:r>
    </w:p>
    <w:p w14:paraId="664EE685" w14:textId="5D689280"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p>
    <w:p w14:paraId="789EBF9D"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4C00786C" w14:textId="77777777" w:rsidR="00D70D14" w:rsidRPr="00EA1B88" w:rsidRDefault="00D70D14"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21284FF7" w14:textId="77777777" w:rsidR="00866648" w:rsidRDefault="00866648"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1DCDB0CF" w14:textId="77777777" w:rsidR="00866648" w:rsidRDefault="00866648"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0CC9F85B" w14:textId="77777777" w:rsidR="00866648" w:rsidRDefault="00866648"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7BEE64B0" w14:textId="7704C36C"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How It Works – Your DORA Journey</w:t>
      </w:r>
    </w:p>
    <w:p w14:paraId="0399B51E" w14:textId="77777777" w:rsidR="00842A65" w:rsidRPr="00842A65" w:rsidRDefault="00842A65" w:rsidP="00842A65">
      <w:pPr>
        <w:numPr>
          <w:ilvl w:val="0"/>
          <w:numId w:val="8"/>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Empower Your Leaders</w:t>
      </w:r>
      <w:r w:rsidRPr="00842A65">
        <w:rPr>
          <w:rFonts w:ascii="SQUARE 721 BT" w:eastAsia="Times New Roman" w:hAnsi="SQUARE 721 BT" w:cs="Times New Roman"/>
          <w:kern w:val="0"/>
          <w:lang w:val="en-IE" w:eastAsia="en-GB"/>
          <w14:ligatures w14:val="none"/>
        </w:rPr>
        <w:t xml:space="preserve"> – board members gain clarity and education on obligations.</w:t>
      </w:r>
    </w:p>
    <w:p w14:paraId="3AC5F912" w14:textId="77777777" w:rsidR="00842A65" w:rsidRPr="00842A65" w:rsidRDefault="00842A65" w:rsidP="00842A65">
      <w:pPr>
        <w:numPr>
          <w:ilvl w:val="0"/>
          <w:numId w:val="8"/>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Know Your Status</w:t>
      </w:r>
      <w:r w:rsidRPr="00842A65">
        <w:rPr>
          <w:rFonts w:ascii="SQUARE 721 BT" w:eastAsia="Times New Roman" w:hAnsi="SQUARE 721 BT" w:cs="Times New Roman"/>
          <w:kern w:val="0"/>
          <w:lang w:val="en-IE" w:eastAsia="en-GB"/>
          <w14:ligatures w14:val="none"/>
        </w:rPr>
        <w:t xml:space="preserve"> – self-assess compliance level using CyberPrism CU.</w:t>
      </w:r>
    </w:p>
    <w:p w14:paraId="57F0F1B8" w14:textId="77777777" w:rsidR="00842A65" w:rsidRPr="00842A65" w:rsidRDefault="00842A65" w:rsidP="00842A65">
      <w:pPr>
        <w:numPr>
          <w:ilvl w:val="0"/>
          <w:numId w:val="8"/>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Develop Your Roadmap</w:t>
      </w:r>
      <w:r w:rsidRPr="00842A65">
        <w:rPr>
          <w:rFonts w:ascii="SQUARE 721 BT" w:eastAsia="Times New Roman" w:hAnsi="SQUARE 721 BT" w:cs="Times New Roman"/>
          <w:kern w:val="0"/>
          <w:lang w:val="en-IE" w:eastAsia="en-GB"/>
          <w14:ligatures w14:val="none"/>
        </w:rPr>
        <w:t xml:space="preserve"> – build a clear plan to 2028.</w:t>
      </w:r>
    </w:p>
    <w:p w14:paraId="5175F2F0" w14:textId="369BD7C8" w:rsidR="00842A65" w:rsidRPr="00842A65" w:rsidRDefault="00842A65" w:rsidP="00842A65">
      <w:pPr>
        <w:numPr>
          <w:ilvl w:val="0"/>
          <w:numId w:val="8"/>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Stay on Track</w:t>
      </w:r>
      <w:r w:rsidRPr="00842A65">
        <w:rPr>
          <w:rFonts w:ascii="SQUARE 721 BT" w:eastAsia="Times New Roman" w:hAnsi="SQUARE 721 BT" w:cs="Times New Roman"/>
          <w:kern w:val="0"/>
          <w:lang w:val="en-IE" w:eastAsia="en-GB"/>
          <w14:ligatures w14:val="none"/>
        </w:rPr>
        <w:t xml:space="preserve"> – monthly advisory sessions + 24/7 CU/CBI Advisor</w:t>
      </w:r>
      <w:r w:rsidR="001F1A99">
        <w:rPr>
          <w:rFonts w:ascii="SQUARE 721 BT" w:eastAsia="Times New Roman" w:hAnsi="SQUARE 721 BT" w:cs="Times New Roman"/>
          <w:kern w:val="0"/>
          <w:lang w:val="en-IE" w:eastAsia="en-GB"/>
          <w14:ligatures w14:val="none"/>
        </w:rPr>
        <w:t xml:space="preserve"> Tools</w:t>
      </w:r>
      <w:r w:rsidRPr="00842A65">
        <w:rPr>
          <w:rFonts w:ascii="SQUARE 721 BT" w:eastAsia="Times New Roman" w:hAnsi="SQUARE 721 BT" w:cs="Times New Roman"/>
          <w:kern w:val="0"/>
          <w:lang w:val="en-IE" w:eastAsia="en-GB"/>
          <w14:ligatures w14:val="none"/>
        </w:rPr>
        <w:t>.</w:t>
      </w:r>
    </w:p>
    <w:p w14:paraId="34F5CBE3" w14:textId="77777777" w:rsidR="00842A65" w:rsidRPr="00842A65" w:rsidRDefault="00842A65" w:rsidP="00842A65">
      <w:pPr>
        <w:numPr>
          <w:ilvl w:val="0"/>
          <w:numId w:val="8"/>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Scale When Needed</w:t>
      </w:r>
      <w:r w:rsidRPr="00842A65">
        <w:rPr>
          <w:rFonts w:ascii="SQUARE 721 BT" w:eastAsia="Times New Roman" w:hAnsi="SQUARE 721 BT" w:cs="Times New Roman"/>
          <w:kern w:val="0"/>
          <w:lang w:val="en-IE" w:eastAsia="en-GB"/>
          <w14:ligatures w14:val="none"/>
        </w:rPr>
        <w:t xml:space="preserve"> – optional private advisory, workshops, or third-party assessments.</w:t>
      </w:r>
    </w:p>
    <w:p w14:paraId="549B901E" w14:textId="0C0A898B"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p>
    <w:p w14:paraId="6EF4A1C4" w14:textId="4DA277C5"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Why Join?</w:t>
      </w:r>
    </w:p>
    <w:p w14:paraId="39EED85C" w14:textId="77777777" w:rsidR="00842A65" w:rsidRPr="00842A65" w:rsidRDefault="00842A65" w:rsidP="00842A65">
      <w:pPr>
        <w:numPr>
          <w:ilvl w:val="0"/>
          <w:numId w:val="9"/>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Board Confidence</w:t>
      </w:r>
      <w:r w:rsidRPr="00842A65">
        <w:rPr>
          <w:rFonts w:ascii="SQUARE 721 BT" w:eastAsia="Times New Roman" w:hAnsi="SQUARE 721 BT" w:cs="Times New Roman"/>
          <w:kern w:val="0"/>
          <w:lang w:val="en-IE" w:eastAsia="en-GB"/>
          <w14:ligatures w14:val="none"/>
        </w:rPr>
        <w:t xml:space="preserve"> – guidance built around your accountability under Article 5 of DORA.</w:t>
      </w:r>
    </w:p>
    <w:p w14:paraId="1AEF1A84" w14:textId="77777777" w:rsidR="00842A65" w:rsidRPr="00842A65" w:rsidRDefault="00842A65" w:rsidP="00842A65">
      <w:pPr>
        <w:numPr>
          <w:ilvl w:val="0"/>
          <w:numId w:val="9"/>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Affordable</w:t>
      </w:r>
      <w:r w:rsidRPr="00842A65">
        <w:rPr>
          <w:rFonts w:ascii="SQUARE 721 BT" w:eastAsia="Times New Roman" w:hAnsi="SQUARE 721 BT" w:cs="Times New Roman"/>
          <w:kern w:val="0"/>
          <w:lang w:val="en-IE" w:eastAsia="en-GB"/>
          <w14:ligatures w14:val="none"/>
        </w:rPr>
        <w:t xml:space="preserve"> – a fair, predictable subscription model.</w:t>
      </w:r>
    </w:p>
    <w:p w14:paraId="61D8EC4E" w14:textId="77777777" w:rsidR="00842A65" w:rsidRPr="00842A65" w:rsidRDefault="00842A65" w:rsidP="00842A65">
      <w:pPr>
        <w:numPr>
          <w:ilvl w:val="0"/>
          <w:numId w:val="9"/>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Tailored</w:t>
      </w:r>
      <w:r w:rsidRPr="00842A65">
        <w:rPr>
          <w:rFonts w:ascii="SQUARE 721 BT" w:eastAsia="Times New Roman" w:hAnsi="SQUARE 721 BT" w:cs="Times New Roman"/>
          <w:kern w:val="0"/>
          <w:lang w:val="en-IE" w:eastAsia="en-GB"/>
          <w14:ligatures w14:val="none"/>
        </w:rPr>
        <w:t xml:space="preserve"> – designed specifically for Irish credit unions.</w:t>
      </w:r>
    </w:p>
    <w:p w14:paraId="59EE4892" w14:textId="77777777" w:rsidR="00842A65" w:rsidRPr="00842A65" w:rsidRDefault="00842A65" w:rsidP="00842A65">
      <w:pPr>
        <w:numPr>
          <w:ilvl w:val="0"/>
          <w:numId w:val="9"/>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Collaborative</w:t>
      </w:r>
      <w:r w:rsidRPr="00842A65">
        <w:rPr>
          <w:rFonts w:ascii="SQUARE 721 BT" w:eastAsia="Times New Roman" w:hAnsi="SQUARE 721 BT" w:cs="Times New Roman"/>
          <w:kern w:val="0"/>
          <w:lang w:val="en-IE" w:eastAsia="en-GB"/>
          <w14:ligatures w14:val="none"/>
        </w:rPr>
        <w:t xml:space="preserve"> – shared knowledge and reduced costs through community membership.</w:t>
      </w:r>
    </w:p>
    <w:p w14:paraId="2562F9E2" w14:textId="77777777" w:rsidR="00842A65" w:rsidRPr="00842A65" w:rsidRDefault="00842A65" w:rsidP="00842A65">
      <w:pPr>
        <w:numPr>
          <w:ilvl w:val="0"/>
          <w:numId w:val="9"/>
        </w:num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b/>
          <w:bCs/>
          <w:kern w:val="0"/>
          <w:lang w:val="en-IE" w:eastAsia="en-GB"/>
          <w14:ligatures w14:val="none"/>
        </w:rPr>
        <w:t>Trusted</w:t>
      </w:r>
      <w:r w:rsidRPr="00842A65">
        <w:rPr>
          <w:rFonts w:ascii="SQUARE 721 BT" w:eastAsia="Times New Roman" w:hAnsi="SQUARE 721 BT" w:cs="Times New Roman"/>
          <w:kern w:val="0"/>
          <w:lang w:val="en-IE" w:eastAsia="en-GB"/>
          <w14:ligatures w14:val="none"/>
        </w:rPr>
        <w:t xml:space="preserve"> – delivered with the ILCU and backed by CRI, European leaders in DORA compliance.</w:t>
      </w:r>
    </w:p>
    <w:p w14:paraId="61191BB5" w14:textId="6CD99B27" w:rsidR="00842A65" w:rsidRPr="00842A65" w:rsidRDefault="00842A65" w:rsidP="00842A65">
      <w:pPr>
        <w:spacing w:after="0" w:line="240" w:lineRule="auto"/>
        <w:rPr>
          <w:rFonts w:ascii="SQUARE 721 BT" w:eastAsia="Times New Roman" w:hAnsi="SQUARE 721 BT" w:cs="Times New Roman"/>
          <w:kern w:val="0"/>
          <w:lang w:val="en-IE" w:eastAsia="en-GB"/>
          <w14:ligatures w14:val="none"/>
        </w:rPr>
      </w:pPr>
    </w:p>
    <w:p w14:paraId="0D2C2E1D" w14:textId="77777777" w:rsidR="00D01A0D" w:rsidRPr="00EA1B88" w:rsidRDefault="00D01A0D"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p>
    <w:p w14:paraId="1B48C8F8" w14:textId="0E667F3E" w:rsidR="00842A65" w:rsidRPr="00842A65" w:rsidRDefault="00842A65" w:rsidP="00842A65">
      <w:pPr>
        <w:spacing w:before="100" w:beforeAutospacing="1" w:after="100" w:afterAutospacing="1" w:line="240" w:lineRule="auto"/>
        <w:outlineLvl w:val="1"/>
        <w:rPr>
          <w:rFonts w:ascii="SQUARE 721 BT" w:eastAsia="Times New Roman" w:hAnsi="SQUARE 721 BT" w:cs="Times New Roman"/>
          <w:b/>
          <w:bCs/>
          <w:kern w:val="0"/>
          <w:sz w:val="36"/>
          <w:szCs w:val="36"/>
          <w:lang w:val="en-IE" w:eastAsia="en-GB"/>
          <w14:ligatures w14:val="none"/>
        </w:rPr>
      </w:pPr>
      <w:r w:rsidRPr="00842A65">
        <w:rPr>
          <w:rFonts w:ascii="SQUARE 721 BT" w:eastAsia="Times New Roman" w:hAnsi="SQUARE 721 BT" w:cs="Times New Roman"/>
          <w:b/>
          <w:bCs/>
          <w:kern w:val="0"/>
          <w:sz w:val="36"/>
          <w:szCs w:val="36"/>
          <w:lang w:val="en-IE" w:eastAsia="en-GB"/>
          <w14:ligatures w14:val="none"/>
        </w:rPr>
        <w:t>Next Steps – Call to Action</w:t>
      </w:r>
    </w:p>
    <w:p w14:paraId="5252A03E" w14:textId="77777777"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w:t>
      </w:r>
      <w:r w:rsidRPr="00842A65">
        <w:rPr>
          <w:rFonts w:ascii="SQUARE 721 BT" w:eastAsia="Times New Roman" w:hAnsi="SQUARE 721 BT" w:cs="Times New Roman"/>
          <w:i/>
          <w:iCs/>
          <w:kern w:val="0"/>
          <w:lang w:val="en-IE" w:eastAsia="en-GB"/>
          <w14:ligatures w14:val="none"/>
        </w:rPr>
        <w:t>Join the DORA CU Compliance Community today and give your credit union the tools, knowledge, and support needed to meet regulatory expectations and strengthen digital resilience — all while protecting member trust.</w:t>
      </w:r>
    </w:p>
    <w:p w14:paraId="46DA55AC" w14:textId="72F1D809" w:rsidR="00842A65" w:rsidRPr="00842A65" w:rsidRDefault="00842A65" w:rsidP="00842A65">
      <w:pPr>
        <w:spacing w:before="100" w:beforeAutospacing="1" w:after="100" w:afterAutospacing="1" w:line="240" w:lineRule="auto"/>
        <w:rPr>
          <w:rFonts w:ascii="SQUARE 721 BT" w:eastAsia="Times New Roman" w:hAnsi="SQUARE 721 BT" w:cs="Times New Roman"/>
          <w:kern w:val="0"/>
          <w:lang w:val="en-IE" w:eastAsia="en-GB"/>
          <w14:ligatures w14:val="none"/>
        </w:rPr>
      </w:pPr>
      <w:r w:rsidRPr="00842A65">
        <w:rPr>
          <w:rFonts w:ascii="SQUARE 721 BT" w:eastAsia="Times New Roman" w:hAnsi="SQUARE 721 BT" w:cs="Times New Roman"/>
          <w:kern w:val="0"/>
          <w:lang w:val="en-IE" w:eastAsia="en-GB"/>
          <w14:ligatures w14:val="none"/>
        </w:rPr>
        <w:t>Contact:</w:t>
      </w:r>
      <w:r w:rsidRPr="00842A65">
        <w:rPr>
          <w:rFonts w:ascii="SQUARE 721 BT" w:eastAsia="Times New Roman" w:hAnsi="SQUARE 721 BT" w:cs="Times New Roman"/>
          <w:kern w:val="0"/>
          <w:lang w:val="en-IE" w:eastAsia="en-GB"/>
          <w14:ligatures w14:val="none"/>
        </w:rPr>
        <w:br/>
      </w:r>
      <w:r w:rsidRPr="00842A65">
        <w:rPr>
          <w:rFonts w:ascii="SQUARE 721 BT" w:eastAsia="Times New Roman" w:hAnsi="SQUARE 721 BT" w:cs="Times New Roman"/>
          <w:b/>
          <w:bCs/>
          <w:kern w:val="0"/>
          <w:lang w:val="en-IE" w:eastAsia="en-GB"/>
          <w14:ligatures w14:val="none"/>
        </w:rPr>
        <w:t>CRI Cyber Risk International</w:t>
      </w:r>
      <w:r w:rsidRPr="00842A65">
        <w:rPr>
          <w:rFonts w:ascii="SQUARE 721 BT" w:eastAsia="Times New Roman" w:hAnsi="SQUARE 721 BT" w:cs="Times New Roman"/>
          <w:kern w:val="0"/>
          <w:lang w:val="en-IE" w:eastAsia="en-GB"/>
          <w14:ligatures w14:val="none"/>
        </w:rPr>
        <w:br/>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[Insert email] | </w:t>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[Insert phone] | </w:t>
      </w:r>
      <w:r w:rsidRPr="00842A65">
        <w:rPr>
          <w:rFonts w:ascii="Apple Color Emoji" w:eastAsia="Times New Roman" w:hAnsi="Apple Color Emoji" w:cs="Apple Color Emoji"/>
          <w:kern w:val="0"/>
          <w:lang w:val="en-IE" w:eastAsia="en-GB"/>
          <w14:ligatures w14:val="none"/>
        </w:rPr>
        <w:t>🌐</w:t>
      </w:r>
      <w:r w:rsidRPr="00842A65">
        <w:rPr>
          <w:rFonts w:ascii="SQUARE 721 BT" w:eastAsia="Times New Roman" w:hAnsi="SQUARE 721 BT" w:cs="Times New Roman"/>
          <w:kern w:val="0"/>
          <w:lang w:val="en-IE" w:eastAsia="en-GB"/>
          <w14:ligatures w14:val="none"/>
        </w:rPr>
        <w:t xml:space="preserve"> [Insert website]</w:t>
      </w:r>
    </w:p>
    <w:p w14:paraId="35A00F22" w14:textId="77777777" w:rsidR="00972C8A" w:rsidRPr="00EA1B88" w:rsidRDefault="00972C8A" w:rsidP="00842A65">
      <w:pPr>
        <w:rPr>
          <w:rFonts w:ascii="SQUARE 721 BT" w:hAnsi="SQUARE 721 BT"/>
        </w:rPr>
      </w:pPr>
    </w:p>
    <w:sectPr w:rsidR="00972C8A" w:rsidRPr="00EA1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QUARE 721 BT">
    <w:panose1 w:val="020B0504020202060204"/>
    <w:charset w:val="00"/>
    <w:family w:val="swiss"/>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FB9"/>
    <w:multiLevelType w:val="multilevel"/>
    <w:tmpl w:val="2204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F6A03"/>
    <w:multiLevelType w:val="multilevel"/>
    <w:tmpl w:val="6E86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D037D"/>
    <w:multiLevelType w:val="multilevel"/>
    <w:tmpl w:val="086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62B86"/>
    <w:multiLevelType w:val="multilevel"/>
    <w:tmpl w:val="CA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A1D84"/>
    <w:multiLevelType w:val="multilevel"/>
    <w:tmpl w:val="9578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D07FC"/>
    <w:multiLevelType w:val="multilevel"/>
    <w:tmpl w:val="E9DC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17D2A"/>
    <w:multiLevelType w:val="multilevel"/>
    <w:tmpl w:val="1844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93382"/>
    <w:multiLevelType w:val="multilevel"/>
    <w:tmpl w:val="5C1C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E834B4"/>
    <w:multiLevelType w:val="multilevel"/>
    <w:tmpl w:val="2B1C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839589">
    <w:abstractNumId w:val="4"/>
  </w:num>
  <w:num w:numId="2" w16cid:durableId="1495535174">
    <w:abstractNumId w:val="0"/>
  </w:num>
  <w:num w:numId="3" w16cid:durableId="700595756">
    <w:abstractNumId w:val="1"/>
  </w:num>
  <w:num w:numId="4" w16cid:durableId="933435260">
    <w:abstractNumId w:val="6"/>
  </w:num>
  <w:num w:numId="5" w16cid:durableId="885145938">
    <w:abstractNumId w:val="3"/>
  </w:num>
  <w:num w:numId="6" w16cid:durableId="870337267">
    <w:abstractNumId w:val="2"/>
  </w:num>
  <w:num w:numId="7" w16cid:durableId="275017988">
    <w:abstractNumId w:val="8"/>
  </w:num>
  <w:num w:numId="8" w16cid:durableId="467358110">
    <w:abstractNumId w:val="7"/>
  </w:num>
  <w:num w:numId="9" w16cid:durableId="241987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65"/>
    <w:rsid w:val="000273BC"/>
    <w:rsid w:val="000946CC"/>
    <w:rsid w:val="001F1A99"/>
    <w:rsid w:val="00412BE5"/>
    <w:rsid w:val="005B349F"/>
    <w:rsid w:val="00774047"/>
    <w:rsid w:val="00842A65"/>
    <w:rsid w:val="00866648"/>
    <w:rsid w:val="00972C8A"/>
    <w:rsid w:val="00AD687E"/>
    <w:rsid w:val="00C3024F"/>
    <w:rsid w:val="00D01A0D"/>
    <w:rsid w:val="00D70D14"/>
    <w:rsid w:val="00EA1B88"/>
    <w:rsid w:val="00F867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DB7E"/>
  <w15:chartTrackingRefBased/>
  <w15:docId w15:val="{BFF6B657-8BE0-B348-B896-19C33194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0273BC"/>
    <w:pPr>
      <w:pBdr>
        <w:top w:val="single" w:sz="12" w:space="1" w:color="00B4FD"/>
        <w:left w:val="single" w:sz="12" w:space="4" w:color="00B4FD"/>
        <w:bottom w:val="single" w:sz="12" w:space="1" w:color="00B4FD"/>
        <w:right w:val="single" w:sz="12" w:space="4" w:color="00B4FD"/>
      </w:pBdr>
      <w:shd w:val="clear" w:color="auto" w:fill="156082" w:themeFill="accent1"/>
      <w:suppressAutoHyphens/>
      <w:spacing w:after="0" w:line="240" w:lineRule="auto"/>
      <w:outlineLvl w:val="0"/>
    </w:pPr>
    <w:rPr>
      <w:rFonts w:ascii="Montserrat" w:eastAsia="Times New Roman" w:hAnsi="Montserrat" w:cs="Times New Roman"/>
      <w:b/>
      <w:color w:val="FFFFFF"/>
      <w:sz w:val="28"/>
      <w:szCs w:val="38"/>
      <w:lang w:val="en-IE" w:eastAsia="en-GB"/>
    </w:rPr>
  </w:style>
  <w:style w:type="paragraph" w:styleId="Heading2">
    <w:name w:val="heading 2"/>
    <w:basedOn w:val="Normal"/>
    <w:next w:val="Normal"/>
    <w:link w:val="Heading2Char"/>
    <w:autoRedefine/>
    <w:uiPriority w:val="9"/>
    <w:unhideWhenUsed/>
    <w:qFormat/>
    <w:rsid w:val="000273BC"/>
    <w:pPr>
      <w:suppressAutoHyphens/>
      <w:spacing w:after="200" w:line="288" w:lineRule="auto"/>
      <w:outlineLvl w:val="1"/>
    </w:pPr>
    <w:rPr>
      <w:rFonts w:ascii="Montserrat" w:eastAsiaTheme="majorEastAsia" w:hAnsi="Montserrat" w:cs="Arial"/>
      <w:b/>
      <w:color w:val="156082" w:themeColor="accent1"/>
      <w:sz w:val="28"/>
      <w:szCs w:val="21"/>
      <w:lang w:eastAsia="en-GB"/>
    </w:rPr>
  </w:style>
  <w:style w:type="paragraph" w:styleId="Heading3">
    <w:name w:val="heading 3"/>
    <w:basedOn w:val="Normal"/>
    <w:next w:val="Normal"/>
    <w:link w:val="Heading3Char"/>
    <w:autoRedefine/>
    <w:uiPriority w:val="9"/>
    <w:unhideWhenUsed/>
    <w:qFormat/>
    <w:rsid w:val="000273BC"/>
    <w:pPr>
      <w:suppressAutoHyphens/>
      <w:spacing w:before="200" w:after="100" w:line="240" w:lineRule="auto"/>
      <w:contextualSpacing/>
      <w:outlineLvl w:val="2"/>
    </w:pPr>
    <w:rPr>
      <w:rFonts w:ascii="Montserrat" w:eastAsiaTheme="majorEastAsia" w:hAnsi="Montserrat" w:cstheme="majorBidi"/>
      <w:bCs/>
      <w:smallCaps/>
      <w:color w:val="3476B1"/>
      <w:spacing w:val="24"/>
      <w:sz w:val="28"/>
      <w:lang w:val="en-IE" w:eastAsia="en-GB"/>
    </w:rPr>
  </w:style>
  <w:style w:type="paragraph" w:styleId="Heading4">
    <w:name w:val="heading 4"/>
    <w:basedOn w:val="Normal"/>
    <w:next w:val="Normal"/>
    <w:link w:val="Heading4Char"/>
    <w:uiPriority w:val="9"/>
    <w:semiHidden/>
    <w:unhideWhenUsed/>
    <w:qFormat/>
    <w:rsid w:val="00842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273BC"/>
    <w:rPr>
      <w:rFonts w:ascii="Montserrat" w:eastAsia="Times New Roman" w:hAnsi="Montserrat" w:cs="Times New Roman"/>
      <w:b/>
      <w:color w:val="FFFFFF"/>
      <w:sz w:val="28"/>
      <w:szCs w:val="38"/>
      <w:shd w:val="clear" w:color="auto" w:fill="156082" w:themeFill="accent1"/>
      <w:lang w:eastAsia="en-GB"/>
    </w:rPr>
  </w:style>
  <w:style w:type="character" w:customStyle="1" w:styleId="Heading2Char">
    <w:name w:val="Heading 2 Char"/>
    <w:basedOn w:val="DefaultParagraphFont"/>
    <w:link w:val="Heading2"/>
    <w:uiPriority w:val="9"/>
    <w:qFormat/>
    <w:rsid w:val="000273BC"/>
    <w:rPr>
      <w:rFonts w:ascii="Montserrat" w:eastAsiaTheme="majorEastAsia" w:hAnsi="Montserrat" w:cs="Arial"/>
      <w:b/>
      <w:color w:val="156082" w:themeColor="accent1"/>
      <w:sz w:val="28"/>
      <w:szCs w:val="21"/>
      <w:lang w:val="en-GB" w:eastAsia="en-GB"/>
    </w:rPr>
  </w:style>
  <w:style w:type="character" w:customStyle="1" w:styleId="Heading3Char">
    <w:name w:val="Heading 3 Char"/>
    <w:basedOn w:val="DefaultParagraphFont"/>
    <w:link w:val="Heading3"/>
    <w:uiPriority w:val="9"/>
    <w:qFormat/>
    <w:rsid w:val="000273BC"/>
    <w:rPr>
      <w:rFonts w:ascii="Montserrat" w:eastAsiaTheme="majorEastAsia" w:hAnsi="Montserrat" w:cstheme="majorBidi"/>
      <w:bCs/>
      <w:smallCaps/>
      <w:color w:val="3476B1"/>
      <w:spacing w:val="24"/>
      <w:sz w:val="28"/>
      <w:lang w:eastAsia="en-GB"/>
    </w:rPr>
  </w:style>
  <w:style w:type="character" w:styleId="IntenseEmphasis">
    <w:name w:val="Intense Emphasis"/>
    <w:uiPriority w:val="21"/>
    <w:qFormat/>
    <w:rsid w:val="000273BC"/>
    <w:rPr>
      <w:rFonts w:ascii="Montserrat" w:eastAsiaTheme="majorEastAsia" w:hAnsi="Montserrat" w:cstheme="majorBidi"/>
      <w:i/>
      <w:iCs/>
      <w:color w:val="FFFFFF" w:themeColor="background1"/>
      <w:position w:val="0"/>
      <w:sz w:val="24"/>
      <w:bdr w:val="single" w:sz="18" w:space="0" w:color="00B4FD"/>
      <w:shd w:val="clear" w:color="auto" w:fill="00B4FD"/>
      <w:vertAlign w:val="baseline"/>
    </w:rPr>
  </w:style>
  <w:style w:type="character" w:customStyle="1" w:styleId="Heading4Char">
    <w:name w:val="Heading 4 Char"/>
    <w:basedOn w:val="DefaultParagraphFont"/>
    <w:link w:val="Heading4"/>
    <w:uiPriority w:val="9"/>
    <w:semiHidden/>
    <w:rsid w:val="00842A6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42A6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42A6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42A6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42A6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42A6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4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A6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4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A6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42A65"/>
    <w:pPr>
      <w:spacing w:before="160"/>
      <w:jc w:val="center"/>
    </w:pPr>
    <w:rPr>
      <w:i/>
      <w:iCs/>
      <w:color w:val="404040" w:themeColor="text1" w:themeTint="BF"/>
    </w:rPr>
  </w:style>
  <w:style w:type="character" w:customStyle="1" w:styleId="QuoteChar">
    <w:name w:val="Quote Char"/>
    <w:basedOn w:val="DefaultParagraphFont"/>
    <w:link w:val="Quote"/>
    <w:uiPriority w:val="29"/>
    <w:rsid w:val="00842A65"/>
    <w:rPr>
      <w:i/>
      <w:iCs/>
      <w:color w:val="404040" w:themeColor="text1" w:themeTint="BF"/>
      <w:lang w:val="en-GB"/>
    </w:rPr>
  </w:style>
  <w:style w:type="paragraph" w:styleId="ListParagraph">
    <w:name w:val="List Paragraph"/>
    <w:basedOn w:val="Normal"/>
    <w:uiPriority w:val="34"/>
    <w:qFormat/>
    <w:rsid w:val="00842A65"/>
    <w:pPr>
      <w:ind w:left="720"/>
      <w:contextualSpacing/>
    </w:pPr>
  </w:style>
  <w:style w:type="paragraph" w:styleId="IntenseQuote">
    <w:name w:val="Intense Quote"/>
    <w:basedOn w:val="Normal"/>
    <w:next w:val="Normal"/>
    <w:link w:val="IntenseQuoteChar"/>
    <w:uiPriority w:val="30"/>
    <w:qFormat/>
    <w:rsid w:val="0084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A65"/>
    <w:rPr>
      <w:i/>
      <w:iCs/>
      <w:color w:val="0F4761" w:themeColor="accent1" w:themeShade="BF"/>
      <w:lang w:val="en-GB"/>
    </w:rPr>
  </w:style>
  <w:style w:type="character" w:styleId="IntenseReference">
    <w:name w:val="Intense Reference"/>
    <w:basedOn w:val="DefaultParagraphFont"/>
    <w:uiPriority w:val="32"/>
    <w:qFormat/>
    <w:rsid w:val="00842A65"/>
    <w:rPr>
      <w:b/>
      <w:bCs/>
      <w:smallCaps/>
      <w:color w:val="0F4761" w:themeColor="accent1" w:themeShade="BF"/>
      <w:spacing w:val="5"/>
    </w:rPr>
  </w:style>
  <w:style w:type="paragraph" w:styleId="NormalWeb">
    <w:name w:val="Normal (Web)"/>
    <w:basedOn w:val="Normal"/>
    <w:uiPriority w:val="99"/>
    <w:semiHidden/>
    <w:unhideWhenUsed/>
    <w:rsid w:val="00842A65"/>
    <w:pPr>
      <w:spacing w:before="100" w:beforeAutospacing="1" w:after="100" w:afterAutospacing="1" w:line="240" w:lineRule="auto"/>
    </w:pPr>
    <w:rPr>
      <w:rFonts w:ascii="Times New Roman" w:eastAsia="Times New Roman" w:hAnsi="Times New Roman" w:cs="Times New Roman"/>
      <w:kern w:val="0"/>
      <w:lang w:val="en-IE" w:eastAsia="en-GB"/>
      <w14:ligatures w14:val="none"/>
    </w:rPr>
  </w:style>
  <w:style w:type="character" w:styleId="Emphasis">
    <w:name w:val="Emphasis"/>
    <w:basedOn w:val="DefaultParagraphFont"/>
    <w:uiPriority w:val="20"/>
    <w:qFormat/>
    <w:rsid w:val="00842A65"/>
    <w:rPr>
      <w:i/>
      <w:iCs/>
    </w:rPr>
  </w:style>
  <w:style w:type="character" w:styleId="Strong">
    <w:name w:val="Strong"/>
    <w:basedOn w:val="DefaultParagraphFont"/>
    <w:uiPriority w:val="22"/>
    <w:qFormat/>
    <w:rsid w:val="00842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 Dwyer</dc:creator>
  <cp:keywords/>
  <dc:description/>
  <cp:lastModifiedBy>Paul C Dwyer</cp:lastModifiedBy>
  <cp:revision>2</cp:revision>
  <dcterms:created xsi:type="dcterms:W3CDTF">2025-09-28T11:53:00Z</dcterms:created>
  <dcterms:modified xsi:type="dcterms:W3CDTF">2025-09-28T11:53:00Z</dcterms:modified>
</cp:coreProperties>
</file>