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14AD2B" w14:textId="77777777" w:rsidR="00493AA8" w:rsidRPr="006053E1" w:rsidRDefault="00493AA8" w:rsidP="00493AA8">
      <w:pPr>
        <w:rPr>
          <w:rFonts w:ascii="Calibri" w:hAnsi="Calibri" w:cs="Calibri"/>
          <w:color w:val="000000" w:themeColor="text1"/>
          <w:sz w:val="20"/>
          <w:szCs w:val="20"/>
        </w:rPr>
      </w:pPr>
      <w:r w:rsidRPr="009742DE">
        <w:rPr>
          <w:rFonts w:ascii="Calibri" w:hAnsi="Calibri" w:cs="Calibri"/>
          <w:b/>
          <w:bCs/>
          <w:color w:val="000000" w:themeColor="text1"/>
          <w:sz w:val="20"/>
          <w:szCs w:val="20"/>
        </w:rPr>
        <w:t>Title:</w:t>
      </w:r>
      <w:r w:rsidRPr="006053E1">
        <w:rPr>
          <w:rFonts w:ascii="Calibri" w:hAnsi="Calibri" w:cs="Calibri"/>
          <w:color w:val="000000" w:themeColor="text1"/>
          <w:sz w:val="20"/>
          <w:szCs w:val="20"/>
        </w:rPr>
        <w:t xml:space="preserve"> Detection and management of delirium in EMS (emergency medical services)</w:t>
      </w:r>
    </w:p>
    <w:p w14:paraId="2D442FDA" w14:textId="77777777" w:rsidR="00493AA8" w:rsidRPr="006053E1" w:rsidRDefault="00493AA8" w:rsidP="00493AA8">
      <w:pPr>
        <w:rPr>
          <w:rFonts w:ascii="Calibri" w:hAnsi="Calibri" w:cs="Calibri"/>
          <w:color w:val="000000" w:themeColor="text1"/>
          <w:sz w:val="20"/>
          <w:szCs w:val="20"/>
        </w:rPr>
      </w:pPr>
    </w:p>
    <w:p w14:paraId="2BEC80E2" w14:textId="77777777" w:rsidR="00493AA8" w:rsidRPr="006053E1" w:rsidRDefault="00493AA8" w:rsidP="00493AA8">
      <w:pPr>
        <w:rPr>
          <w:rFonts w:ascii="Calibri" w:hAnsi="Calibri" w:cs="Calibri"/>
          <w:color w:val="000000" w:themeColor="text1"/>
          <w:sz w:val="20"/>
          <w:szCs w:val="20"/>
        </w:rPr>
      </w:pPr>
      <w:r w:rsidRPr="009742DE">
        <w:rPr>
          <w:rFonts w:ascii="Calibri" w:hAnsi="Calibri" w:cs="Calibri"/>
          <w:b/>
          <w:bCs/>
          <w:color w:val="000000" w:themeColor="text1"/>
          <w:sz w:val="20"/>
          <w:szCs w:val="20"/>
        </w:rPr>
        <w:t>Authors:</w:t>
      </w:r>
      <w:r w:rsidRPr="006053E1">
        <w:rPr>
          <w:rFonts w:ascii="Calibri" w:hAnsi="Calibri" w:cs="Calibri"/>
          <w:color w:val="000000" w:themeColor="text1"/>
          <w:sz w:val="20"/>
          <w:szCs w:val="20"/>
        </w:rPr>
        <w:t xml:space="preserve"> Benson J, Farey I, Ford P, Green T, Reid M, Smith K</w:t>
      </w:r>
      <w:r>
        <w:rPr>
          <w:rFonts w:ascii="Calibri" w:hAnsi="Calibri" w:cs="Calibri"/>
          <w:color w:val="000000" w:themeColor="text1"/>
          <w:sz w:val="20"/>
          <w:szCs w:val="20"/>
        </w:rPr>
        <w:t>.</w:t>
      </w:r>
    </w:p>
    <w:p w14:paraId="2B192AE8" w14:textId="77777777" w:rsidR="00493AA8" w:rsidRPr="006053E1" w:rsidRDefault="00493AA8" w:rsidP="00493AA8">
      <w:pPr>
        <w:rPr>
          <w:rFonts w:ascii="Calibri" w:hAnsi="Calibri" w:cs="Calibri"/>
          <w:color w:val="000000" w:themeColor="text1"/>
          <w:sz w:val="20"/>
          <w:szCs w:val="20"/>
        </w:rPr>
      </w:pPr>
    </w:p>
    <w:p w14:paraId="7F8FC0B9" w14:textId="77777777" w:rsidR="00493AA8" w:rsidRPr="0025781F" w:rsidRDefault="00493AA8" w:rsidP="00493AA8">
      <w:pPr>
        <w:rPr>
          <w:rFonts w:ascii="Calibri" w:hAnsi="Calibri" w:cs="Calibri"/>
          <w:color w:val="000000" w:themeColor="text1"/>
          <w:sz w:val="20"/>
          <w:szCs w:val="20"/>
          <w:shd w:val="clear" w:color="auto" w:fill="FFFFFF"/>
        </w:rPr>
      </w:pPr>
      <w:r w:rsidRPr="009742DE">
        <w:rPr>
          <w:rFonts w:ascii="Calibri" w:hAnsi="Calibri" w:cs="Calibri"/>
          <w:b/>
          <w:bCs/>
          <w:color w:val="000000" w:themeColor="text1"/>
          <w:sz w:val="20"/>
          <w:szCs w:val="20"/>
        </w:rPr>
        <w:t>Background:</w:t>
      </w:r>
      <w:r w:rsidRPr="006053E1">
        <w:rPr>
          <w:rFonts w:ascii="Calibri" w:hAnsi="Calibri" w:cs="Calibri"/>
          <w:color w:val="000000" w:themeColor="text1"/>
          <w:sz w:val="20"/>
          <w:szCs w:val="20"/>
        </w:rPr>
        <w:t xml:space="preserve"> </w:t>
      </w:r>
      <w:r>
        <w:rPr>
          <w:rFonts w:ascii="Calibri" w:hAnsi="Calibri" w:cs="Calibri"/>
          <w:color w:val="000000" w:themeColor="text1"/>
          <w:sz w:val="20"/>
          <w:szCs w:val="20"/>
          <w:shd w:val="clear" w:color="auto" w:fill="FFFFFF"/>
        </w:rPr>
        <w:t>Delirium is a prevalent and critically acute syndrome that places patients at severe risk of adverse outcomes in emergency and community settings, with incidences associated to considerable risk of morbidity, mortality, cognitive decline and burden of cost. The sudden onset nature, fluctuating disturbance in consciousness and cognition, and broad aetiology of delirium catalyses these adverse outcomes, posing a need for paramedics to effectively recognise delirium in the community, and engage in adequate early interventions. This study explored the detection and management of delirium in paramedicine, aiming to identify paramedic challenges and strategies in optimising patient care.</w:t>
      </w:r>
    </w:p>
    <w:p w14:paraId="48E16D1F" w14:textId="77777777" w:rsidR="00493AA8" w:rsidRPr="006053E1" w:rsidRDefault="00493AA8" w:rsidP="00493AA8">
      <w:pPr>
        <w:rPr>
          <w:rFonts w:ascii="Calibri" w:hAnsi="Calibri" w:cs="Calibri"/>
          <w:color w:val="000000" w:themeColor="text1"/>
          <w:sz w:val="20"/>
          <w:szCs w:val="20"/>
          <w:shd w:val="clear" w:color="auto" w:fill="FFFFFF"/>
        </w:rPr>
      </w:pPr>
    </w:p>
    <w:p w14:paraId="0B24181B" w14:textId="77777777" w:rsidR="00493AA8" w:rsidRPr="006053E1" w:rsidRDefault="00493AA8" w:rsidP="00493AA8">
      <w:pPr>
        <w:rPr>
          <w:rFonts w:ascii="Calibri" w:hAnsi="Calibri" w:cs="Calibri"/>
          <w:color w:val="000000" w:themeColor="text1"/>
          <w:sz w:val="20"/>
          <w:szCs w:val="20"/>
          <w:shd w:val="clear" w:color="auto" w:fill="FFFFFF"/>
        </w:rPr>
      </w:pPr>
      <w:r w:rsidRPr="009742DE">
        <w:rPr>
          <w:rFonts w:ascii="Calibri" w:hAnsi="Calibri" w:cs="Calibri"/>
          <w:b/>
          <w:bCs/>
          <w:color w:val="000000" w:themeColor="text1"/>
          <w:sz w:val="20"/>
          <w:szCs w:val="20"/>
          <w:shd w:val="clear" w:color="auto" w:fill="FFFFFF"/>
        </w:rPr>
        <w:t>Method:</w:t>
      </w:r>
      <w:r w:rsidRPr="006053E1">
        <w:rPr>
          <w:rFonts w:ascii="Calibri" w:hAnsi="Calibri" w:cs="Calibri"/>
          <w:color w:val="000000" w:themeColor="text1"/>
          <w:sz w:val="20"/>
          <w:szCs w:val="20"/>
          <w:shd w:val="clear" w:color="auto" w:fill="FFFFFF"/>
        </w:rPr>
        <w:t xml:space="preserve"> </w:t>
      </w:r>
      <w:r>
        <w:rPr>
          <w:rFonts w:ascii="Calibri" w:hAnsi="Calibri" w:cs="Calibri"/>
          <w:color w:val="000000" w:themeColor="text1"/>
          <w:sz w:val="20"/>
          <w:szCs w:val="20"/>
          <w:shd w:val="clear" w:color="auto" w:fill="FFFFFF"/>
        </w:rPr>
        <w:t xml:space="preserve">Databases USC library, PubMed and Google scholar were searched for potential data using the search terms “Delirium or Behavioural Disturbance” and “Paramed* or Prehospital or Ambulance or EMS”. The searches were either narrowed or expanded using the terms “Management or Treatment” and “Screening or Detection”. The inclusion criteria consisted of free full text, adult delirious patients (&gt;16 years old), paramedic relevance and published in the last 10 years. Exclusions included books, paediatric patients, palliative or significantly disease patients and published prior to 2014. Articles were selected for data extraction based on objective relevance with meta-analyses, systematic reviews, RCT’s, and quantitative data preferred. </w:t>
      </w:r>
    </w:p>
    <w:p w14:paraId="02BD6F1F" w14:textId="77777777" w:rsidR="00493AA8" w:rsidRPr="006053E1" w:rsidRDefault="00493AA8" w:rsidP="00493AA8">
      <w:pPr>
        <w:rPr>
          <w:rFonts w:ascii="Calibri" w:hAnsi="Calibri" w:cs="Calibri"/>
          <w:color w:val="000000" w:themeColor="text1"/>
          <w:sz w:val="20"/>
          <w:szCs w:val="20"/>
          <w:shd w:val="clear" w:color="auto" w:fill="FFFFFF"/>
        </w:rPr>
      </w:pPr>
    </w:p>
    <w:p w14:paraId="385CAB4A" w14:textId="77777777" w:rsidR="00493AA8" w:rsidRPr="00377C3A" w:rsidRDefault="00493AA8" w:rsidP="00493AA8">
      <w:pPr>
        <w:rPr>
          <w:rFonts w:asciiTheme="minorHAnsi" w:hAnsiTheme="minorHAnsi" w:cstheme="minorHAnsi"/>
          <w:sz w:val="20"/>
          <w:szCs w:val="20"/>
        </w:rPr>
      </w:pPr>
      <w:r w:rsidRPr="009742DE">
        <w:rPr>
          <w:rFonts w:ascii="Calibri" w:hAnsi="Calibri" w:cs="Calibri"/>
          <w:b/>
          <w:bCs/>
          <w:color w:val="000000" w:themeColor="text1"/>
          <w:sz w:val="20"/>
          <w:szCs w:val="20"/>
          <w:shd w:val="clear" w:color="auto" w:fill="FFFFFF"/>
        </w:rPr>
        <w:t>Results:</w:t>
      </w:r>
      <w:r w:rsidRPr="006053E1">
        <w:rPr>
          <w:rFonts w:ascii="Calibri" w:hAnsi="Calibri" w:cs="Calibri"/>
          <w:color w:val="000000" w:themeColor="text1"/>
          <w:sz w:val="20"/>
          <w:szCs w:val="20"/>
          <w:shd w:val="clear" w:color="auto" w:fill="FFFFFF"/>
        </w:rPr>
        <w:t xml:space="preserve"> </w:t>
      </w:r>
      <w:r w:rsidRPr="00377C3A">
        <w:rPr>
          <w:rFonts w:asciiTheme="minorHAnsi" w:hAnsiTheme="minorHAnsi" w:cstheme="minorHAnsi"/>
          <w:sz w:val="20"/>
          <w:szCs w:val="20"/>
        </w:rPr>
        <w:t>The 4AT tool demonstrated good sensitivity (76-81.5%) and specificity (87.5-94%), making it practical for prehospital use. In contrast, the CAM tool, though highly specific (100%), had lower sensitivity (40%), suggesting it might miss many delirium cases, making the 4AT more suitable for paramedics in dynamic environments.</w:t>
      </w:r>
    </w:p>
    <w:p w14:paraId="5624041C" w14:textId="77777777" w:rsidR="00493AA8" w:rsidRPr="00377C3A" w:rsidRDefault="00493AA8" w:rsidP="00493AA8">
      <w:pPr>
        <w:rPr>
          <w:rFonts w:asciiTheme="minorHAnsi" w:hAnsiTheme="minorHAnsi" w:cstheme="minorHAnsi"/>
          <w:sz w:val="20"/>
          <w:szCs w:val="20"/>
        </w:rPr>
      </w:pPr>
      <w:r>
        <w:rPr>
          <w:rFonts w:asciiTheme="minorHAnsi" w:hAnsiTheme="minorHAnsi" w:cstheme="minorHAnsi"/>
          <w:sz w:val="20"/>
          <w:szCs w:val="20"/>
        </w:rPr>
        <w:t xml:space="preserve">Droperidol </w:t>
      </w:r>
      <w:r w:rsidRPr="00377C3A">
        <w:rPr>
          <w:rFonts w:asciiTheme="minorHAnsi" w:hAnsiTheme="minorHAnsi" w:cstheme="minorHAnsi"/>
          <w:sz w:val="20"/>
          <w:szCs w:val="20"/>
        </w:rPr>
        <w:t>was effective and safe for managing acute behavio</w:t>
      </w:r>
      <w:r>
        <w:rPr>
          <w:rFonts w:asciiTheme="minorHAnsi" w:hAnsiTheme="minorHAnsi" w:cstheme="minorHAnsi"/>
          <w:sz w:val="20"/>
          <w:szCs w:val="20"/>
        </w:rPr>
        <w:t>u</w:t>
      </w:r>
      <w:r w:rsidRPr="00377C3A">
        <w:rPr>
          <w:rFonts w:asciiTheme="minorHAnsi" w:hAnsiTheme="minorHAnsi" w:cstheme="minorHAnsi"/>
          <w:sz w:val="20"/>
          <w:szCs w:val="20"/>
        </w:rPr>
        <w:t>ral disturbances, particularly in elderly patients, with a 76% sedation success rate and a low 3% adverse event rate. It also had a shorter sedation time (19-22 minutes) compared to Midazolam, which had a higher adverse event rate (23%) and longer sedation time (30 minutes). Ketamine, effective for rapid sedation with a 98% success rate, carried significant risks, including a 15% intubation rate.</w:t>
      </w:r>
    </w:p>
    <w:p w14:paraId="3EBE88EE" w14:textId="77777777" w:rsidR="00493AA8" w:rsidRDefault="00493AA8" w:rsidP="00493AA8">
      <w:pPr>
        <w:pStyle w:val="NormalWeb"/>
        <w:spacing w:before="0" w:beforeAutospacing="0" w:after="0" w:afterAutospacing="0"/>
        <w:rPr>
          <w:rFonts w:ascii="Calibri" w:hAnsi="Calibri" w:cs="Calibri"/>
          <w:color w:val="000000" w:themeColor="text1"/>
          <w:sz w:val="20"/>
          <w:szCs w:val="20"/>
        </w:rPr>
      </w:pPr>
    </w:p>
    <w:p w14:paraId="2E97D560" w14:textId="2625636E" w:rsidR="00493AA8" w:rsidRPr="00A81BE6" w:rsidRDefault="00493AA8" w:rsidP="00493AA8">
      <w:pPr>
        <w:rPr>
          <w:rFonts w:asciiTheme="minorHAnsi" w:hAnsiTheme="minorHAnsi" w:cstheme="minorHAnsi"/>
          <w:sz w:val="20"/>
          <w:szCs w:val="20"/>
        </w:rPr>
      </w:pPr>
      <w:r w:rsidRPr="009742DE">
        <w:rPr>
          <w:rFonts w:asciiTheme="minorHAnsi" w:hAnsiTheme="minorHAnsi" w:cstheme="minorHAnsi"/>
          <w:b/>
          <w:bCs/>
          <w:color w:val="000000" w:themeColor="text1"/>
          <w:sz w:val="20"/>
          <w:szCs w:val="20"/>
        </w:rPr>
        <w:t>Recommendations:</w:t>
      </w:r>
      <w:r w:rsidRPr="008E7F9B">
        <w:rPr>
          <w:rFonts w:asciiTheme="minorHAnsi" w:hAnsiTheme="minorHAnsi" w:cstheme="minorHAnsi"/>
          <w:b/>
          <w:bCs/>
          <w:color w:val="000000" w:themeColor="text1"/>
          <w:sz w:val="20"/>
          <w:szCs w:val="20"/>
        </w:rPr>
        <w:t xml:space="preserve"> </w:t>
      </w:r>
      <w:r>
        <w:rPr>
          <w:rFonts w:asciiTheme="minorHAnsi" w:hAnsiTheme="minorHAnsi" w:cstheme="minorHAnsi"/>
          <w:sz w:val="20"/>
          <w:szCs w:val="20"/>
        </w:rPr>
        <w:t>The 4AT or CAM short assessment detection tools</w:t>
      </w:r>
      <w:r w:rsidRPr="00377C3A">
        <w:rPr>
          <w:rFonts w:asciiTheme="minorHAnsi" w:hAnsiTheme="minorHAnsi" w:cstheme="minorHAnsi"/>
          <w:sz w:val="20"/>
          <w:szCs w:val="20"/>
        </w:rPr>
        <w:t xml:space="preserve"> </w:t>
      </w:r>
      <w:r>
        <w:rPr>
          <w:rFonts w:asciiTheme="minorHAnsi" w:hAnsiTheme="minorHAnsi" w:cstheme="minorHAnsi"/>
          <w:sz w:val="20"/>
          <w:szCs w:val="20"/>
        </w:rPr>
        <w:t>are</w:t>
      </w:r>
      <w:r w:rsidRPr="00377C3A">
        <w:rPr>
          <w:rFonts w:asciiTheme="minorHAnsi" w:hAnsiTheme="minorHAnsi" w:cstheme="minorHAnsi"/>
          <w:sz w:val="20"/>
          <w:szCs w:val="20"/>
        </w:rPr>
        <w:t xml:space="preserve"> recommended for prehospital use by paramedics, given </w:t>
      </w:r>
      <w:r>
        <w:rPr>
          <w:rFonts w:asciiTheme="minorHAnsi" w:hAnsiTheme="minorHAnsi" w:cstheme="minorHAnsi"/>
          <w:sz w:val="20"/>
          <w:szCs w:val="20"/>
        </w:rPr>
        <w:t>their</w:t>
      </w:r>
      <w:r w:rsidRPr="00377C3A">
        <w:rPr>
          <w:rFonts w:asciiTheme="minorHAnsi" w:hAnsiTheme="minorHAnsi" w:cstheme="minorHAnsi"/>
          <w:sz w:val="20"/>
          <w:szCs w:val="20"/>
        </w:rPr>
        <w:t xml:space="preserve"> strong balance of sensitivity and specificity, allowing for more reliable</w:t>
      </w:r>
      <w:r>
        <w:rPr>
          <w:rFonts w:asciiTheme="minorHAnsi" w:hAnsiTheme="minorHAnsi" w:cstheme="minorHAnsi"/>
          <w:sz w:val="20"/>
          <w:szCs w:val="20"/>
        </w:rPr>
        <w:t xml:space="preserve"> and expedient </w:t>
      </w:r>
      <w:r w:rsidRPr="00377C3A">
        <w:rPr>
          <w:rFonts w:asciiTheme="minorHAnsi" w:hAnsiTheme="minorHAnsi" w:cstheme="minorHAnsi"/>
          <w:sz w:val="20"/>
          <w:szCs w:val="20"/>
        </w:rPr>
        <w:t>identification</w:t>
      </w:r>
      <w:r>
        <w:rPr>
          <w:rFonts w:asciiTheme="minorHAnsi" w:hAnsiTheme="minorHAnsi" w:cstheme="minorHAnsi"/>
          <w:sz w:val="20"/>
          <w:szCs w:val="20"/>
        </w:rPr>
        <w:t xml:space="preserve">. </w:t>
      </w:r>
      <w:r w:rsidRPr="00377C3A">
        <w:rPr>
          <w:rFonts w:asciiTheme="minorHAnsi" w:hAnsiTheme="minorHAnsi" w:cstheme="minorHAnsi"/>
          <w:sz w:val="20"/>
          <w:szCs w:val="20"/>
        </w:rPr>
        <w:t>Droperidol is recommended as the first-line sedative</w:t>
      </w:r>
      <w:r>
        <w:rPr>
          <w:rFonts w:asciiTheme="minorHAnsi" w:hAnsiTheme="minorHAnsi" w:cstheme="minorHAnsi"/>
          <w:sz w:val="20"/>
          <w:szCs w:val="20"/>
        </w:rPr>
        <w:t xml:space="preserve"> for acute behavioural disturbances, due to </w:t>
      </w:r>
      <w:r w:rsidRPr="00377C3A">
        <w:rPr>
          <w:rFonts w:asciiTheme="minorHAnsi" w:hAnsiTheme="minorHAnsi" w:cstheme="minorHAnsi"/>
          <w:sz w:val="20"/>
          <w:szCs w:val="20"/>
        </w:rPr>
        <w:t>its effectiveness, safety</w:t>
      </w:r>
      <w:r>
        <w:rPr>
          <w:rFonts w:asciiTheme="minorHAnsi" w:hAnsiTheme="minorHAnsi" w:cstheme="minorHAnsi"/>
          <w:sz w:val="20"/>
          <w:szCs w:val="20"/>
        </w:rPr>
        <w:t xml:space="preserve"> profile</w:t>
      </w:r>
      <w:r w:rsidRPr="00377C3A">
        <w:rPr>
          <w:rFonts w:asciiTheme="minorHAnsi" w:hAnsiTheme="minorHAnsi" w:cstheme="minorHAnsi"/>
          <w:sz w:val="20"/>
          <w:szCs w:val="20"/>
        </w:rPr>
        <w:t>, and shorter sedation time compared to Midazolam. Ketamine should be reserved for cases requiring rapid sedation, with caution given to its higher risk of adverse effects.</w:t>
      </w:r>
    </w:p>
    <w:p w14:paraId="6FCD9810" w14:textId="77777777" w:rsidR="00D1509D" w:rsidRDefault="00D1509D"/>
    <w:p w14:paraId="6CCFB7D7" w14:textId="1F5906CB" w:rsidR="00493AA8" w:rsidRPr="00493AA8" w:rsidRDefault="00493AA8">
      <w:pPr>
        <w:rPr>
          <w:rFonts w:asciiTheme="minorHAnsi" w:hAnsiTheme="minorHAnsi" w:cstheme="minorHAnsi"/>
          <w:b/>
          <w:bCs/>
          <w:sz w:val="20"/>
          <w:szCs w:val="20"/>
        </w:rPr>
      </w:pPr>
      <w:r w:rsidRPr="00493AA8">
        <w:rPr>
          <w:rFonts w:asciiTheme="minorHAnsi" w:hAnsiTheme="minorHAnsi" w:cstheme="minorHAnsi"/>
          <w:b/>
          <w:bCs/>
          <w:sz w:val="20"/>
          <w:szCs w:val="20"/>
        </w:rPr>
        <w:t>References</w:t>
      </w:r>
    </w:p>
    <w:p w14:paraId="30E9B2AA" w14:textId="7E47895C" w:rsidR="00493AA8" w:rsidRPr="00493AA8" w:rsidRDefault="00493AA8">
      <w:pPr>
        <w:rPr>
          <w:rFonts w:asciiTheme="minorHAnsi" w:hAnsiTheme="minorHAnsi" w:cstheme="minorHAnsi"/>
          <w:sz w:val="20"/>
          <w:szCs w:val="20"/>
        </w:rPr>
      </w:pPr>
      <w:r w:rsidRPr="00493AA8">
        <w:rPr>
          <w:rFonts w:asciiTheme="minorHAnsi" w:hAnsiTheme="minorHAnsi" w:cstheme="minorHAnsi"/>
          <w:sz w:val="20"/>
          <w:szCs w:val="20"/>
        </w:rPr>
        <w:t>List refer</w:t>
      </w:r>
      <w:r>
        <w:rPr>
          <w:rFonts w:asciiTheme="minorHAnsi" w:hAnsiTheme="minorHAnsi" w:cstheme="minorHAnsi"/>
          <w:sz w:val="20"/>
          <w:szCs w:val="20"/>
        </w:rPr>
        <w:t>e</w:t>
      </w:r>
      <w:r w:rsidRPr="00493AA8">
        <w:rPr>
          <w:rFonts w:asciiTheme="minorHAnsi" w:hAnsiTheme="minorHAnsi" w:cstheme="minorHAnsi"/>
          <w:sz w:val="20"/>
          <w:szCs w:val="20"/>
        </w:rPr>
        <w:t>nce list here</w:t>
      </w:r>
    </w:p>
    <w:sectPr w:rsidR="00493AA8" w:rsidRPr="00493AA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AA8"/>
    <w:rsid w:val="000353BB"/>
    <w:rsid w:val="0003602A"/>
    <w:rsid w:val="00041CEF"/>
    <w:rsid w:val="00066B63"/>
    <w:rsid w:val="00090C7D"/>
    <w:rsid w:val="00095C73"/>
    <w:rsid w:val="000B1689"/>
    <w:rsid w:val="00145C49"/>
    <w:rsid w:val="00146EAA"/>
    <w:rsid w:val="001726E4"/>
    <w:rsid w:val="0018332A"/>
    <w:rsid w:val="00190AE0"/>
    <w:rsid w:val="00205F70"/>
    <w:rsid w:val="0022394C"/>
    <w:rsid w:val="002616C8"/>
    <w:rsid w:val="0026498E"/>
    <w:rsid w:val="00280C0F"/>
    <w:rsid w:val="002D54AF"/>
    <w:rsid w:val="00310C2C"/>
    <w:rsid w:val="0031637C"/>
    <w:rsid w:val="0032503C"/>
    <w:rsid w:val="00335E19"/>
    <w:rsid w:val="00352F7F"/>
    <w:rsid w:val="003C4AE1"/>
    <w:rsid w:val="003C7742"/>
    <w:rsid w:val="003F24BF"/>
    <w:rsid w:val="003F4D27"/>
    <w:rsid w:val="003F7C65"/>
    <w:rsid w:val="004157E8"/>
    <w:rsid w:val="00421A82"/>
    <w:rsid w:val="004367A4"/>
    <w:rsid w:val="004432D7"/>
    <w:rsid w:val="0045703F"/>
    <w:rsid w:val="00493AA8"/>
    <w:rsid w:val="004950EF"/>
    <w:rsid w:val="0049677B"/>
    <w:rsid w:val="004A414C"/>
    <w:rsid w:val="004A6B5A"/>
    <w:rsid w:val="004E780C"/>
    <w:rsid w:val="00502A0A"/>
    <w:rsid w:val="00510CC4"/>
    <w:rsid w:val="00512F8C"/>
    <w:rsid w:val="005426BE"/>
    <w:rsid w:val="0055730C"/>
    <w:rsid w:val="0058360B"/>
    <w:rsid w:val="00593732"/>
    <w:rsid w:val="005968B0"/>
    <w:rsid w:val="005A3C70"/>
    <w:rsid w:val="005E38E1"/>
    <w:rsid w:val="00610988"/>
    <w:rsid w:val="00612134"/>
    <w:rsid w:val="006554FD"/>
    <w:rsid w:val="006D070C"/>
    <w:rsid w:val="006E6B46"/>
    <w:rsid w:val="006F3C46"/>
    <w:rsid w:val="007102F1"/>
    <w:rsid w:val="00713487"/>
    <w:rsid w:val="00756FC1"/>
    <w:rsid w:val="007637CD"/>
    <w:rsid w:val="007645F4"/>
    <w:rsid w:val="007819CD"/>
    <w:rsid w:val="00794D4B"/>
    <w:rsid w:val="007E15FA"/>
    <w:rsid w:val="00801B87"/>
    <w:rsid w:val="00843D94"/>
    <w:rsid w:val="00861D0B"/>
    <w:rsid w:val="00862E4A"/>
    <w:rsid w:val="00881E41"/>
    <w:rsid w:val="008820FD"/>
    <w:rsid w:val="00897C86"/>
    <w:rsid w:val="00922A46"/>
    <w:rsid w:val="00942E27"/>
    <w:rsid w:val="009A698A"/>
    <w:rsid w:val="009E4EF4"/>
    <w:rsid w:val="00A21252"/>
    <w:rsid w:val="00A32B2F"/>
    <w:rsid w:val="00AC255F"/>
    <w:rsid w:val="00AF08C8"/>
    <w:rsid w:val="00AF27FB"/>
    <w:rsid w:val="00B237B1"/>
    <w:rsid w:val="00B43F71"/>
    <w:rsid w:val="00B96D05"/>
    <w:rsid w:val="00BD276F"/>
    <w:rsid w:val="00C72B78"/>
    <w:rsid w:val="00CB5FA2"/>
    <w:rsid w:val="00CC6922"/>
    <w:rsid w:val="00CD2039"/>
    <w:rsid w:val="00D0502B"/>
    <w:rsid w:val="00D1509D"/>
    <w:rsid w:val="00D2785C"/>
    <w:rsid w:val="00D335BF"/>
    <w:rsid w:val="00DA0E3F"/>
    <w:rsid w:val="00DE2866"/>
    <w:rsid w:val="00E21465"/>
    <w:rsid w:val="00E90BFB"/>
    <w:rsid w:val="00EA0FD3"/>
    <w:rsid w:val="00EC4DDA"/>
    <w:rsid w:val="00F2293C"/>
    <w:rsid w:val="00F53EDF"/>
    <w:rsid w:val="00F67FED"/>
    <w:rsid w:val="00FD2F4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B7D64BD"/>
  <w15:chartTrackingRefBased/>
  <w15:docId w15:val="{5E56A0D7-71C9-9B4D-A4F4-53663E6E0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3AA8"/>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493AA8"/>
    <w:pPr>
      <w:keepNext/>
      <w:keepLines/>
      <w:spacing w:before="360" w:after="80"/>
      <w:outlineLvl w:val="0"/>
    </w:pPr>
    <w:rPr>
      <w:rFonts w:asciiTheme="majorHAnsi" w:eastAsiaTheme="majorEastAsia" w:hAnsiTheme="majorHAnsi" w:cstheme="majorBidi"/>
      <w:color w:val="2F5496"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493AA8"/>
    <w:pPr>
      <w:keepNext/>
      <w:keepLines/>
      <w:spacing w:before="160" w:after="80"/>
      <w:outlineLvl w:val="1"/>
    </w:pPr>
    <w:rPr>
      <w:rFonts w:asciiTheme="majorHAnsi" w:eastAsiaTheme="majorEastAsia" w:hAnsiTheme="majorHAnsi" w:cstheme="majorBidi"/>
      <w:color w:val="2F5496"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493AA8"/>
    <w:pPr>
      <w:keepNext/>
      <w:keepLines/>
      <w:spacing w:before="160" w:after="80"/>
      <w:outlineLvl w:val="2"/>
    </w:pPr>
    <w:rPr>
      <w:rFonts w:asciiTheme="minorHAnsi" w:eastAsiaTheme="majorEastAsia" w:hAnsiTheme="minorHAnsi" w:cstheme="majorBidi"/>
      <w:color w:val="2F5496"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493AA8"/>
    <w:pPr>
      <w:keepNext/>
      <w:keepLines/>
      <w:spacing w:before="80" w:after="40"/>
      <w:outlineLvl w:val="3"/>
    </w:pPr>
    <w:rPr>
      <w:rFonts w:asciiTheme="minorHAnsi" w:eastAsiaTheme="majorEastAsia" w:hAnsiTheme="minorHAnsi" w:cstheme="majorBidi"/>
      <w:i/>
      <w:iCs/>
      <w:color w:val="2F5496"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493AA8"/>
    <w:pPr>
      <w:keepNext/>
      <w:keepLines/>
      <w:spacing w:before="80" w:after="40"/>
      <w:outlineLvl w:val="4"/>
    </w:pPr>
    <w:rPr>
      <w:rFonts w:asciiTheme="minorHAnsi" w:eastAsiaTheme="majorEastAsia" w:hAnsiTheme="minorHAnsi" w:cstheme="majorBidi"/>
      <w:color w:val="2F5496"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493AA8"/>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493AA8"/>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493AA8"/>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493AA8"/>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3AA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93AA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93AA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93AA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93AA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93A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3A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3A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3AA8"/>
    <w:rPr>
      <w:rFonts w:eastAsiaTheme="majorEastAsia" w:cstheme="majorBidi"/>
      <w:color w:val="272727" w:themeColor="text1" w:themeTint="D8"/>
    </w:rPr>
  </w:style>
  <w:style w:type="paragraph" w:styleId="Title">
    <w:name w:val="Title"/>
    <w:basedOn w:val="Normal"/>
    <w:next w:val="Normal"/>
    <w:link w:val="TitleChar"/>
    <w:uiPriority w:val="10"/>
    <w:qFormat/>
    <w:rsid w:val="00493AA8"/>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493A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3AA8"/>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493A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3AA8"/>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493AA8"/>
    <w:rPr>
      <w:i/>
      <w:iCs/>
      <w:color w:val="404040" w:themeColor="text1" w:themeTint="BF"/>
    </w:rPr>
  </w:style>
  <w:style w:type="paragraph" w:styleId="ListParagraph">
    <w:name w:val="List Paragraph"/>
    <w:basedOn w:val="Normal"/>
    <w:uiPriority w:val="34"/>
    <w:qFormat/>
    <w:rsid w:val="00493AA8"/>
    <w:pPr>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493AA8"/>
    <w:rPr>
      <w:i/>
      <w:iCs/>
      <w:color w:val="2F5496" w:themeColor="accent1" w:themeShade="BF"/>
    </w:rPr>
  </w:style>
  <w:style w:type="paragraph" w:styleId="IntenseQuote">
    <w:name w:val="Intense Quote"/>
    <w:basedOn w:val="Normal"/>
    <w:next w:val="Normal"/>
    <w:link w:val="IntenseQuoteChar"/>
    <w:uiPriority w:val="30"/>
    <w:qFormat/>
    <w:rsid w:val="00493AA8"/>
    <w:pPr>
      <w:pBdr>
        <w:top w:val="single" w:sz="4" w:space="10" w:color="2F5496" w:themeColor="accent1" w:themeShade="BF"/>
        <w:bottom w:val="single" w:sz="4" w:space="10" w:color="2F5496" w:themeColor="accent1" w:themeShade="BF"/>
      </w:pBdr>
      <w:spacing w:before="360" w:after="360"/>
      <w:ind w:left="864" w:right="864"/>
      <w:jc w:val="center"/>
    </w:pPr>
    <w:rPr>
      <w:rFonts w:asciiTheme="minorHAnsi" w:eastAsiaTheme="minorHAnsi" w:hAnsiTheme="minorHAnsi" w:cstheme="minorBidi"/>
      <w:i/>
      <w:iCs/>
      <w:color w:val="2F5496"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493AA8"/>
    <w:rPr>
      <w:i/>
      <w:iCs/>
      <w:color w:val="2F5496" w:themeColor="accent1" w:themeShade="BF"/>
    </w:rPr>
  </w:style>
  <w:style w:type="character" w:styleId="IntenseReference">
    <w:name w:val="Intense Reference"/>
    <w:basedOn w:val="DefaultParagraphFont"/>
    <w:uiPriority w:val="32"/>
    <w:qFormat/>
    <w:rsid w:val="00493AA8"/>
    <w:rPr>
      <w:b/>
      <w:bCs/>
      <w:smallCaps/>
      <w:color w:val="2F5496" w:themeColor="accent1" w:themeShade="BF"/>
      <w:spacing w:val="5"/>
    </w:rPr>
  </w:style>
  <w:style w:type="paragraph" w:styleId="NormalWeb">
    <w:name w:val="Normal (Web)"/>
    <w:basedOn w:val="Normal"/>
    <w:uiPriority w:val="99"/>
    <w:unhideWhenUsed/>
    <w:rsid w:val="00493AA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.~WRD0000</Template>
  <TotalTime>2</TotalTime>
  <Pages>1</Pages>
  <Words>441</Words>
  <Characters>2520</Characters>
  <Application>Microsoft Office Word</Application>
  <DocSecurity>0</DocSecurity>
  <Lines>21</Lines>
  <Paragraphs>5</Paragraphs>
  <ScaleCrop>false</ScaleCrop>
  <Company/>
  <LinksUpToDate>false</LinksUpToDate>
  <CharactersWithSpaces>2956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Peta Ford</dc:creator>
  <cp:keywords/>
  <dc:description/>
  <cp:lastModifiedBy>Peta Ford</cp:lastModifiedBy>
  <cp:revision>1</cp:revision>
  <dcterms:created xsi:type="dcterms:W3CDTF">2024-08-24T00:25:00Z</dcterms:created>
  <dcterms:modified xsi:type="dcterms:W3CDTF">2024-08-24T00:29:00Z</dcterms:modified>
</cp:coreProperties>
</file>