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BB03" w14:textId="038EAEBF" w:rsidR="00860AFC" w:rsidRPr="00791179" w:rsidRDefault="209EC7D4" w:rsidP="004701D0">
      <w:pPr>
        <w:spacing w:before="120" w:after="120" w:line="264" w:lineRule="auto"/>
        <w:rPr>
          <w:rFonts w:ascii="Raleway" w:eastAsia="Raleway" w:hAnsi="Raleway" w:cs="Raleway"/>
          <w:b/>
          <w:bCs/>
          <w:color w:val="000000" w:themeColor="text1"/>
          <w:sz w:val="24"/>
          <w:szCs w:val="24"/>
        </w:rPr>
      </w:pPr>
      <w:r w:rsidRPr="004701D0">
        <w:rPr>
          <w:rFonts w:ascii="Raleway" w:eastAsia="Raleway" w:hAnsi="Raleway" w:cs="Raleway"/>
          <w:b/>
          <w:bCs/>
          <w:color w:val="000000" w:themeColor="text1"/>
          <w:sz w:val="24"/>
          <w:szCs w:val="24"/>
        </w:rPr>
        <w:t>Introduction</w:t>
      </w:r>
    </w:p>
    <w:p w14:paraId="5C66C6EC" w14:textId="43148BA7" w:rsidR="00860AFC" w:rsidRPr="004701D0" w:rsidRDefault="209EC7D4" w:rsidP="004701D0">
      <w:p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The Winters Group, Inc., a Black woman-owned global diversity, equity, inclusion, and justice (DEIJ) consulting firm established in 1984, brings over 80 years of combined experience in its field. Specializing in learning and education, cultural audits, and strategy development, the firm is dedicated to centering its work on those most impacted by injustice and oppression. Through advancing DEIJ thought leadership and partnering with committed organizations, The Winters Group strives to build equitable and just systems within workplaces and beyond. </w:t>
      </w:r>
    </w:p>
    <w:p w14:paraId="4CABD0AA" w14:textId="50749DE6" w:rsidR="00923F12" w:rsidRDefault="00923F12" w:rsidP="590C4918">
      <w:pPr>
        <w:spacing w:before="120" w:after="120" w:line="264" w:lineRule="auto"/>
        <w:rPr>
          <w:rFonts w:ascii="Raleway" w:eastAsia="Raleway" w:hAnsi="Raleway" w:cs="Raleway"/>
          <w:color w:val="000000" w:themeColor="text1"/>
          <w:sz w:val="24"/>
          <w:szCs w:val="24"/>
        </w:rPr>
      </w:pPr>
      <w:r w:rsidRPr="590C4918">
        <w:rPr>
          <w:rFonts w:ascii="Raleway" w:eastAsia="Raleway" w:hAnsi="Raleway" w:cs="Raleway"/>
          <w:color w:val="000000" w:themeColor="text1"/>
          <w:sz w:val="24"/>
          <w:szCs w:val="24"/>
        </w:rPr>
        <w:t>In 2021, t</w:t>
      </w:r>
      <w:r w:rsidR="0004065B" w:rsidRPr="590C4918">
        <w:rPr>
          <w:rFonts w:ascii="Raleway" w:eastAsia="Raleway" w:hAnsi="Raleway" w:cs="Raleway"/>
          <w:color w:val="000000" w:themeColor="text1"/>
          <w:sz w:val="24"/>
          <w:szCs w:val="24"/>
        </w:rPr>
        <w:t>he Winters Group, Inc. was engaged</w:t>
      </w:r>
      <w:r w:rsidR="05D3E32E" w:rsidRPr="590C4918">
        <w:rPr>
          <w:rFonts w:ascii="Raleway" w:eastAsia="Raleway" w:hAnsi="Raleway" w:cs="Raleway"/>
          <w:color w:val="000000" w:themeColor="text1"/>
          <w:sz w:val="24"/>
          <w:szCs w:val="24"/>
        </w:rPr>
        <w:t xml:space="preserve"> to support MSHS in implementing its Roadmap for Anti-racism</w:t>
      </w:r>
      <w:r w:rsidR="0004065B" w:rsidRPr="590C4918">
        <w:rPr>
          <w:rFonts w:ascii="Raleway" w:eastAsia="Raleway" w:hAnsi="Raleway" w:cs="Raleway"/>
          <w:color w:val="000000" w:themeColor="text1"/>
          <w:sz w:val="24"/>
          <w:szCs w:val="24"/>
        </w:rPr>
        <w:t xml:space="preserve"> following the unsuccessful tenure of a previous consultant. </w:t>
      </w:r>
    </w:p>
    <w:p w14:paraId="7677F14F" w14:textId="528DEAA9" w:rsidR="00923F12" w:rsidRDefault="0004065B" w:rsidP="590C4918">
      <w:pPr>
        <w:spacing w:before="120" w:after="120" w:line="264" w:lineRule="auto"/>
        <w:rPr>
          <w:rFonts w:ascii="Raleway" w:eastAsia="Raleway" w:hAnsi="Raleway" w:cs="Raleway"/>
          <w:color w:val="000000" w:themeColor="text1"/>
          <w:sz w:val="24"/>
          <w:szCs w:val="24"/>
        </w:rPr>
      </w:pPr>
      <w:r w:rsidRPr="4223224C">
        <w:rPr>
          <w:rFonts w:ascii="Raleway" w:eastAsia="Raleway" w:hAnsi="Raleway" w:cs="Raleway"/>
          <w:color w:val="000000" w:themeColor="text1"/>
          <w:sz w:val="24"/>
          <w:szCs w:val="24"/>
        </w:rPr>
        <w:t>After the death of George Floyd, many organizations hired DEIJ consultants</w:t>
      </w:r>
      <w:r w:rsidR="38287414" w:rsidRPr="4223224C">
        <w:rPr>
          <w:rFonts w:ascii="Raleway" w:eastAsia="Raleway" w:hAnsi="Raleway" w:cs="Raleway"/>
          <w:color w:val="000000" w:themeColor="text1"/>
          <w:sz w:val="24"/>
          <w:szCs w:val="24"/>
        </w:rPr>
        <w:t>, committing to examining systemic racism</w:t>
      </w:r>
      <w:r w:rsidRPr="4223224C">
        <w:rPr>
          <w:rFonts w:ascii="Raleway" w:eastAsia="Raleway" w:hAnsi="Raleway" w:cs="Raleway"/>
          <w:color w:val="000000" w:themeColor="text1"/>
          <w:sz w:val="24"/>
          <w:szCs w:val="24"/>
        </w:rPr>
        <w:t xml:space="preserve">. </w:t>
      </w:r>
      <w:r w:rsidR="3FA11014" w:rsidRPr="4223224C">
        <w:rPr>
          <w:rFonts w:ascii="Raleway" w:eastAsia="Raleway" w:hAnsi="Raleway" w:cs="Raleway"/>
          <w:color w:val="000000" w:themeColor="text1"/>
          <w:sz w:val="24"/>
          <w:szCs w:val="24"/>
        </w:rPr>
        <w:t>The Winters Group</w:t>
      </w:r>
      <w:r w:rsidR="295687BB" w:rsidRPr="4223224C">
        <w:rPr>
          <w:rFonts w:ascii="Raleway" w:eastAsia="Raleway" w:hAnsi="Raleway" w:cs="Raleway"/>
          <w:color w:val="000000" w:themeColor="text1"/>
          <w:sz w:val="24"/>
          <w:szCs w:val="24"/>
        </w:rPr>
        <w:t xml:space="preserve"> was asked to</w:t>
      </w:r>
      <w:r w:rsidRPr="4223224C">
        <w:rPr>
          <w:rFonts w:ascii="Raleway" w:eastAsia="Raleway" w:hAnsi="Raleway" w:cs="Raleway"/>
          <w:color w:val="000000" w:themeColor="text1"/>
          <w:sz w:val="24"/>
          <w:szCs w:val="24"/>
        </w:rPr>
        <w:t xml:space="preserve"> </w:t>
      </w:r>
      <w:r w:rsidR="588643A1" w:rsidRPr="4223224C">
        <w:rPr>
          <w:rFonts w:ascii="Raleway" w:eastAsia="Raleway" w:hAnsi="Raleway" w:cs="Raleway"/>
          <w:color w:val="000000" w:themeColor="text1"/>
          <w:sz w:val="24"/>
          <w:szCs w:val="24"/>
        </w:rPr>
        <w:t>utilize</w:t>
      </w:r>
      <w:r w:rsidR="05D2AB4F" w:rsidRPr="4223224C">
        <w:rPr>
          <w:rFonts w:ascii="Raleway" w:eastAsia="Raleway" w:hAnsi="Raleway" w:cs="Raleway"/>
          <w:color w:val="000000" w:themeColor="text1"/>
          <w:sz w:val="24"/>
          <w:szCs w:val="24"/>
        </w:rPr>
        <w:t xml:space="preserve"> The</w:t>
      </w:r>
      <w:r w:rsidR="588643A1" w:rsidRPr="4223224C">
        <w:rPr>
          <w:rFonts w:ascii="Raleway" w:eastAsia="Raleway" w:hAnsi="Raleway" w:cs="Raleway"/>
          <w:color w:val="000000" w:themeColor="text1"/>
          <w:sz w:val="24"/>
          <w:szCs w:val="24"/>
        </w:rPr>
        <w:t xml:space="preserve"> Collective</w:t>
      </w:r>
      <w:r w:rsidRPr="4223224C">
        <w:rPr>
          <w:rFonts w:ascii="Raleway" w:eastAsia="Raleway" w:hAnsi="Raleway" w:cs="Raleway"/>
          <w:color w:val="000000" w:themeColor="text1"/>
          <w:sz w:val="24"/>
          <w:szCs w:val="24"/>
        </w:rPr>
        <w:t xml:space="preserve"> Impact</w:t>
      </w:r>
      <w:r w:rsidR="1917C1F6" w:rsidRPr="4223224C">
        <w:rPr>
          <w:rFonts w:ascii="Raleway" w:eastAsia="Raleway" w:hAnsi="Raleway" w:cs="Raleway"/>
          <w:color w:val="000000" w:themeColor="text1"/>
          <w:sz w:val="24"/>
          <w:szCs w:val="24"/>
        </w:rPr>
        <w:t xml:space="preserve"> </w:t>
      </w:r>
      <w:r w:rsidRPr="4223224C">
        <w:rPr>
          <w:rFonts w:ascii="Raleway" w:eastAsia="Raleway" w:hAnsi="Raleway" w:cs="Raleway"/>
          <w:color w:val="000000" w:themeColor="text1"/>
          <w:sz w:val="24"/>
          <w:szCs w:val="24"/>
        </w:rPr>
        <w:t>model</w:t>
      </w:r>
      <w:r w:rsidR="37025544" w:rsidRPr="4223224C">
        <w:rPr>
          <w:rFonts w:ascii="Raleway" w:eastAsia="Raleway" w:hAnsi="Raleway" w:cs="Raleway"/>
          <w:color w:val="000000" w:themeColor="text1"/>
          <w:sz w:val="24"/>
          <w:szCs w:val="24"/>
        </w:rPr>
        <w:t xml:space="preserve"> approach</w:t>
      </w:r>
      <w:r w:rsidR="2BDDB212" w:rsidRPr="4223224C">
        <w:rPr>
          <w:rFonts w:ascii="Raleway" w:eastAsia="Raleway" w:hAnsi="Raleway" w:cs="Raleway"/>
          <w:color w:val="000000" w:themeColor="text1"/>
          <w:sz w:val="24"/>
          <w:szCs w:val="24"/>
        </w:rPr>
        <w:t>, already in place</w:t>
      </w:r>
      <w:r w:rsidRPr="4223224C">
        <w:rPr>
          <w:rFonts w:ascii="Raleway" w:eastAsia="Raleway" w:hAnsi="Raleway" w:cs="Raleway"/>
          <w:color w:val="000000" w:themeColor="text1"/>
          <w:sz w:val="24"/>
          <w:szCs w:val="24"/>
        </w:rPr>
        <w:t xml:space="preserve">. </w:t>
      </w:r>
      <w:r w:rsidR="00482AAC" w:rsidRPr="4223224C">
        <w:rPr>
          <w:rFonts w:ascii="Raleway" w:eastAsia="Raleway" w:hAnsi="Raleway" w:cs="Raleway"/>
          <w:color w:val="000000" w:themeColor="text1"/>
          <w:sz w:val="24"/>
          <w:szCs w:val="24"/>
        </w:rPr>
        <w:t>W</w:t>
      </w:r>
      <w:r w:rsidRPr="4223224C">
        <w:rPr>
          <w:rFonts w:ascii="Raleway" w:eastAsia="Raleway" w:hAnsi="Raleway" w:cs="Raleway"/>
          <w:color w:val="000000" w:themeColor="text1"/>
          <w:sz w:val="24"/>
          <w:szCs w:val="24"/>
        </w:rPr>
        <w:t>e successfully adapted and implemented this model</w:t>
      </w:r>
      <w:r w:rsidR="00482AAC" w:rsidRPr="4223224C">
        <w:rPr>
          <w:rFonts w:ascii="Raleway" w:eastAsia="Raleway" w:hAnsi="Raleway" w:cs="Raleway"/>
          <w:color w:val="000000" w:themeColor="text1"/>
          <w:sz w:val="24"/>
          <w:szCs w:val="24"/>
        </w:rPr>
        <w:t xml:space="preserve"> to establish</w:t>
      </w:r>
      <w:r w:rsidRPr="4223224C">
        <w:rPr>
          <w:rFonts w:ascii="Raleway" w:eastAsia="Raleway" w:hAnsi="Raleway" w:cs="Raleway"/>
          <w:color w:val="000000" w:themeColor="text1"/>
          <w:sz w:val="24"/>
          <w:szCs w:val="24"/>
        </w:rPr>
        <w:t xml:space="preserve"> a robust governance structure and a clear strategic direction. </w:t>
      </w:r>
      <w:r w:rsidR="00DC5A89" w:rsidRPr="4223224C">
        <w:rPr>
          <w:rFonts w:ascii="Raleway" w:eastAsia="Raleway" w:hAnsi="Raleway" w:cs="Raleway"/>
          <w:color w:val="000000" w:themeColor="text1"/>
          <w:sz w:val="24"/>
          <w:szCs w:val="24"/>
        </w:rPr>
        <w:t>Together with MSHS,</w:t>
      </w:r>
      <w:r w:rsidRPr="4223224C">
        <w:rPr>
          <w:rFonts w:ascii="Raleway" w:eastAsia="Raleway" w:hAnsi="Raleway" w:cs="Raleway"/>
          <w:color w:val="000000" w:themeColor="text1"/>
          <w:sz w:val="24"/>
          <w:szCs w:val="24"/>
        </w:rPr>
        <w:t xml:space="preserve"> </w:t>
      </w:r>
      <w:r w:rsidR="00DC5A89" w:rsidRPr="4223224C">
        <w:rPr>
          <w:rFonts w:ascii="Raleway" w:eastAsia="Raleway" w:hAnsi="Raleway" w:cs="Raleway"/>
          <w:color w:val="000000" w:themeColor="text1"/>
          <w:sz w:val="24"/>
          <w:szCs w:val="24"/>
        </w:rPr>
        <w:t xml:space="preserve">we </w:t>
      </w:r>
      <w:r w:rsidRPr="4223224C">
        <w:rPr>
          <w:rFonts w:ascii="Raleway" w:eastAsia="Raleway" w:hAnsi="Raleway" w:cs="Raleway"/>
          <w:color w:val="000000" w:themeColor="text1"/>
          <w:sz w:val="24"/>
          <w:szCs w:val="24"/>
        </w:rPr>
        <w:t xml:space="preserve">created synergy among </w:t>
      </w:r>
      <w:r w:rsidR="423B8AC5" w:rsidRPr="4223224C">
        <w:rPr>
          <w:rFonts w:ascii="Raleway" w:eastAsia="Raleway" w:hAnsi="Raleway" w:cs="Raleway"/>
          <w:color w:val="000000" w:themeColor="text1"/>
          <w:sz w:val="24"/>
          <w:szCs w:val="24"/>
        </w:rPr>
        <w:t>eleven leaders appointed to oversee</w:t>
      </w:r>
      <w:r w:rsidR="26A89DB8" w:rsidRPr="4223224C">
        <w:rPr>
          <w:rFonts w:ascii="Raleway" w:eastAsia="Raleway" w:hAnsi="Raleway" w:cs="Raleway"/>
          <w:color w:val="000000" w:themeColor="text1"/>
          <w:sz w:val="24"/>
          <w:szCs w:val="24"/>
        </w:rPr>
        <w:t xml:space="preserve"> the Roadmap.</w:t>
      </w:r>
      <w:r w:rsidR="423B8AC5" w:rsidRPr="4223224C">
        <w:rPr>
          <w:rFonts w:ascii="Raleway" w:eastAsia="Raleway" w:hAnsi="Raleway" w:cs="Raleway"/>
          <w:color w:val="000000" w:themeColor="text1"/>
          <w:sz w:val="24"/>
          <w:szCs w:val="24"/>
        </w:rPr>
        <w:t xml:space="preserve"> </w:t>
      </w:r>
      <w:r w:rsidR="057CCBAF" w:rsidRPr="4223224C">
        <w:rPr>
          <w:rFonts w:ascii="Raleway" w:eastAsia="Raleway" w:hAnsi="Raleway" w:cs="Raleway"/>
          <w:color w:val="000000" w:themeColor="text1"/>
          <w:sz w:val="24"/>
          <w:szCs w:val="24"/>
        </w:rPr>
        <w:t xml:space="preserve">The Winters </w:t>
      </w:r>
      <w:r w:rsidR="00BB11B4">
        <w:rPr>
          <w:rFonts w:ascii="Raleway" w:eastAsia="Raleway" w:hAnsi="Raleway" w:cs="Raleway"/>
          <w:color w:val="000000" w:themeColor="text1"/>
          <w:sz w:val="24"/>
          <w:szCs w:val="24"/>
        </w:rPr>
        <w:t>Group's</w:t>
      </w:r>
      <w:r w:rsidRPr="4223224C">
        <w:rPr>
          <w:rFonts w:ascii="Raleway" w:eastAsia="Raleway" w:hAnsi="Raleway" w:cs="Raleway"/>
          <w:color w:val="000000" w:themeColor="text1"/>
          <w:sz w:val="24"/>
          <w:szCs w:val="24"/>
        </w:rPr>
        <w:t xml:space="preserve"> ability to build upon the initial groundwork and turn the project</w:t>
      </w:r>
      <w:r w:rsidR="0B5F2FF1" w:rsidRPr="4223224C">
        <w:rPr>
          <w:rFonts w:ascii="Raleway" w:eastAsia="Raleway" w:hAnsi="Raleway" w:cs="Raleway"/>
          <w:color w:val="000000" w:themeColor="text1"/>
          <w:sz w:val="24"/>
          <w:szCs w:val="24"/>
        </w:rPr>
        <w:t xml:space="preserve"> around</w:t>
      </w:r>
      <w:r w:rsidRPr="4223224C">
        <w:rPr>
          <w:rFonts w:ascii="Raleway" w:eastAsia="Raleway" w:hAnsi="Raleway" w:cs="Raleway"/>
          <w:color w:val="000000" w:themeColor="text1"/>
          <w:sz w:val="24"/>
          <w:szCs w:val="24"/>
        </w:rPr>
        <w:t xml:space="preserve"> exemplifies </w:t>
      </w:r>
      <w:r w:rsidR="64550F2B" w:rsidRPr="4223224C">
        <w:rPr>
          <w:rFonts w:ascii="Raleway" w:eastAsia="Raleway" w:hAnsi="Raleway" w:cs="Raleway"/>
          <w:color w:val="000000" w:themeColor="text1"/>
          <w:sz w:val="24"/>
          <w:szCs w:val="24"/>
        </w:rPr>
        <w:t>our</w:t>
      </w:r>
      <w:r w:rsidRPr="4223224C">
        <w:rPr>
          <w:rFonts w:ascii="Raleway" w:eastAsia="Raleway" w:hAnsi="Raleway" w:cs="Raleway"/>
          <w:color w:val="000000" w:themeColor="text1"/>
          <w:sz w:val="24"/>
          <w:szCs w:val="24"/>
        </w:rPr>
        <w:t xml:space="preserve"> expertise and commitment to delivering results.</w:t>
      </w:r>
    </w:p>
    <w:p w14:paraId="4AA1B4B7" w14:textId="6D536A6D" w:rsidR="00923F12" w:rsidRDefault="00A803FB" w:rsidP="004701D0">
      <w:pPr>
        <w:spacing w:before="120" w:after="120" w:line="264" w:lineRule="auto"/>
        <w:rPr>
          <w:rFonts w:ascii="Raleway" w:eastAsia="Raleway" w:hAnsi="Raleway" w:cs="Raleway"/>
          <w:color w:val="000000" w:themeColor="text1"/>
          <w:sz w:val="24"/>
          <w:szCs w:val="24"/>
        </w:rPr>
      </w:pPr>
      <w:r w:rsidRPr="00A803FB">
        <w:rPr>
          <w:rFonts w:ascii="Raleway" w:eastAsia="Raleway" w:hAnsi="Raleway" w:cs="Raleway"/>
          <w:color w:val="000000" w:themeColor="text1"/>
          <w:sz w:val="24"/>
          <w:szCs w:val="24"/>
        </w:rPr>
        <w:t>Our collaboration with Mount Sinai Health Systems (MSHS)</w:t>
      </w:r>
      <w:r w:rsidR="00EB5954">
        <w:rPr>
          <w:rFonts w:ascii="Raleway" w:eastAsia="Raleway" w:hAnsi="Raleway" w:cs="Raleway"/>
          <w:color w:val="000000" w:themeColor="text1"/>
          <w:sz w:val="24"/>
          <w:szCs w:val="24"/>
        </w:rPr>
        <w:t xml:space="preserve"> </w:t>
      </w:r>
      <w:r w:rsidRPr="00A803FB">
        <w:rPr>
          <w:rFonts w:ascii="Raleway" w:eastAsia="Raleway" w:hAnsi="Raleway" w:cs="Raleway"/>
          <w:color w:val="000000" w:themeColor="text1"/>
          <w:sz w:val="24"/>
          <w:szCs w:val="24"/>
        </w:rPr>
        <w:t xml:space="preserve">has been a source of honor and pleasure. </w:t>
      </w:r>
      <w:r w:rsidR="007A7A40">
        <w:rPr>
          <w:rFonts w:ascii="Raleway" w:eastAsia="Raleway" w:hAnsi="Raleway" w:cs="Raleway"/>
          <w:color w:val="000000" w:themeColor="text1"/>
          <w:sz w:val="24"/>
          <w:szCs w:val="24"/>
        </w:rPr>
        <w:t>The</w:t>
      </w:r>
      <w:r w:rsidR="00923F12" w:rsidRPr="00923F12">
        <w:rPr>
          <w:rFonts w:ascii="Raleway" w:eastAsia="Raleway" w:hAnsi="Raleway" w:cs="Raleway"/>
          <w:color w:val="000000" w:themeColor="text1"/>
          <w:sz w:val="24"/>
          <w:szCs w:val="24"/>
        </w:rPr>
        <w:t xml:space="preserve"> partnership </w:t>
      </w:r>
      <w:r w:rsidR="007A7A40">
        <w:rPr>
          <w:rFonts w:ascii="Raleway" w:eastAsia="Raleway" w:hAnsi="Raleway" w:cs="Raleway"/>
          <w:color w:val="000000" w:themeColor="text1"/>
          <w:sz w:val="24"/>
          <w:szCs w:val="24"/>
        </w:rPr>
        <w:t>has enhanced</w:t>
      </w:r>
      <w:r w:rsidR="00923F12" w:rsidRPr="00923F12">
        <w:rPr>
          <w:rFonts w:ascii="Raleway" w:eastAsia="Raleway" w:hAnsi="Raleway" w:cs="Raleway"/>
          <w:color w:val="000000" w:themeColor="text1"/>
          <w:sz w:val="24"/>
          <w:szCs w:val="24"/>
        </w:rPr>
        <w:t xml:space="preserve"> MSHS's capacity to deliver exceptional patient care in diverse communities</w:t>
      </w:r>
      <w:r w:rsidR="00EC68A3">
        <w:rPr>
          <w:rFonts w:ascii="Raleway" w:eastAsia="Raleway" w:hAnsi="Raleway" w:cs="Raleway"/>
          <w:color w:val="000000" w:themeColor="text1"/>
          <w:sz w:val="24"/>
          <w:szCs w:val="24"/>
        </w:rPr>
        <w:t xml:space="preserve"> and to </w:t>
      </w:r>
      <w:r w:rsidR="00923F12" w:rsidRPr="00923F12">
        <w:rPr>
          <w:rFonts w:ascii="Raleway" w:eastAsia="Raleway" w:hAnsi="Raleway" w:cs="Raleway"/>
          <w:color w:val="000000" w:themeColor="text1"/>
          <w:sz w:val="24"/>
          <w:szCs w:val="24"/>
        </w:rPr>
        <w:t>foster</w:t>
      </w:r>
      <w:r w:rsidR="00EC68A3">
        <w:rPr>
          <w:rFonts w:ascii="Raleway" w:eastAsia="Raleway" w:hAnsi="Raleway" w:cs="Raleway"/>
          <w:color w:val="000000" w:themeColor="text1"/>
          <w:sz w:val="24"/>
          <w:szCs w:val="24"/>
        </w:rPr>
        <w:t xml:space="preserve"> </w:t>
      </w:r>
      <w:r w:rsidR="00923F12" w:rsidRPr="00923F12">
        <w:rPr>
          <w:rFonts w:ascii="Raleway" w:eastAsia="Raleway" w:hAnsi="Raleway" w:cs="Raleway"/>
          <w:color w:val="000000" w:themeColor="text1"/>
          <w:sz w:val="24"/>
          <w:szCs w:val="24"/>
        </w:rPr>
        <w:t>an anti-racist and equitable healthcare environment that actively confronts all forms of racism while promoting greater diversity, inclusion, and equity among its workforce and those it serves.</w:t>
      </w:r>
    </w:p>
    <w:p w14:paraId="54EDF712" w14:textId="7F5EBC6D" w:rsidR="00860AFC" w:rsidRPr="004701D0" w:rsidRDefault="209EC7D4" w:rsidP="004701D0">
      <w:pPr>
        <w:spacing w:before="120" w:after="120" w:line="264" w:lineRule="auto"/>
        <w:rPr>
          <w:rFonts w:ascii="Raleway" w:eastAsia="Raleway" w:hAnsi="Raleway" w:cs="Raleway"/>
          <w:color w:val="000000" w:themeColor="text1"/>
          <w:sz w:val="24"/>
          <w:szCs w:val="24"/>
        </w:rPr>
      </w:pPr>
      <w:r w:rsidRPr="499E985E">
        <w:rPr>
          <w:rFonts w:ascii="Raleway" w:eastAsia="Raleway" w:hAnsi="Raleway" w:cs="Raleway"/>
          <w:color w:val="000000" w:themeColor="text1"/>
          <w:sz w:val="24"/>
          <w:szCs w:val="24"/>
        </w:rPr>
        <w:t xml:space="preserve">This report outlines The Winters Group's role, achievements, and contributions to MSHS during our </w:t>
      </w:r>
      <w:r w:rsidR="004701D0" w:rsidRPr="499E985E">
        <w:rPr>
          <w:rFonts w:ascii="Raleway" w:eastAsia="Raleway" w:hAnsi="Raleway" w:cs="Raleway"/>
          <w:color w:val="000000" w:themeColor="text1"/>
          <w:sz w:val="24"/>
          <w:szCs w:val="24"/>
        </w:rPr>
        <w:t>two-year</w:t>
      </w:r>
      <w:r w:rsidRPr="499E985E">
        <w:rPr>
          <w:rFonts w:ascii="Raleway" w:eastAsia="Raleway" w:hAnsi="Raleway" w:cs="Raleway"/>
          <w:color w:val="000000" w:themeColor="text1"/>
          <w:sz w:val="24"/>
          <w:szCs w:val="24"/>
        </w:rPr>
        <w:t xml:space="preserve"> engagement and presents forward-looking recommendations </w:t>
      </w:r>
      <w:r w:rsidR="00CE676B">
        <w:rPr>
          <w:rFonts w:ascii="Raleway" w:eastAsia="Raleway" w:hAnsi="Raleway" w:cs="Raleway"/>
          <w:color w:val="000000" w:themeColor="text1"/>
          <w:sz w:val="24"/>
          <w:szCs w:val="24"/>
        </w:rPr>
        <w:t>to advance Equity and Antiracism further</w:t>
      </w:r>
      <w:r w:rsidRPr="499E985E">
        <w:rPr>
          <w:rFonts w:ascii="Raleway" w:eastAsia="Raleway" w:hAnsi="Raleway" w:cs="Raleway"/>
          <w:color w:val="000000" w:themeColor="text1"/>
          <w:sz w:val="24"/>
          <w:szCs w:val="24"/>
        </w:rPr>
        <w:t>. </w:t>
      </w:r>
    </w:p>
    <w:p w14:paraId="4909F0C2" w14:textId="5678C728" w:rsidR="00860AFC" w:rsidRPr="004701D0" w:rsidRDefault="004701D0" w:rsidP="004701D0">
      <w:pPr>
        <w:spacing w:before="120" w:after="120" w:line="264" w:lineRule="auto"/>
        <w:rPr>
          <w:rFonts w:ascii="Raleway" w:eastAsia="Raleway" w:hAnsi="Raleway" w:cs="Raleway"/>
          <w:color w:val="000000" w:themeColor="text1"/>
          <w:sz w:val="24"/>
          <w:szCs w:val="24"/>
        </w:rPr>
      </w:pPr>
      <w:r>
        <w:rPr>
          <w:rFonts w:ascii="Raleway" w:eastAsia="Raleway" w:hAnsi="Raleway" w:cs="Raleway"/>
          <w:color w:val="000000" w:themeColor="text1"/>
          <w:sz w:val="24"/>
          <w:szCs w:val="24"/>
        </w:rPr>
        <w:t>We have achieved significant milestones in collaboration with Mount Sinai Health Systems (MSHS) throughout the partnership</w:t>
      </w:r>
      <w:r w:rsidR="209EC7D4" w:rsidRPr="004701D0">
        <w:rPr>
          <w:rFonts w:ascii="Raleway" w:eastAsia="Raleway" w:hAnsi="Raleway" w:cs="Raleway"/>
          <w:color w:val="000000" w:themeColor="text1"/>
          <w:sz w:val="24"/>
          <w:szCs w:val="24"/>
        </w:rPr>
        <w:t xml:space="preserve">. </w:t>
      </w:r>
      <w:r w:rsidRPr="004701D0">
        <w:rPr>
          <w:rFonts w:ascii="Raleway" w:eastAsia="Raleway" w:hAnsi="Raleway" w:cs="Raleway"/>
          <w:color w:val="000000" w:themeColor="text1"/>
          <w:sz w:val="24"/>
          <w:szCs w:val="24"/>
        </w:rPr>
        <w:t>Notably</w:t>
      </w:r>
      <w:r w:rsidR="2CB7DACD" w:rsidRPr="590C4918">
        <w:rPr>
          <w:rFonts w:ascii="Raleway" w:eastAsia="Raleway" w:hAnsi="Raleway" w:cs="Raleway"/>
          <w:color w:val="000000" w:themeColor="text1"/>
          <w:sz w:val="24"/>
          <w:szCs w:val="24"/>
        </w:rPr>
        <w:t>:</w:t>
      </w:r>
    </w:p>
    <w:p w14:paraId="400EEDE4" w14:textId="16198019" w:rsidR="00860AFC" w:rsidRPr="004701D0" w:rsidRDefault="209EC7D4" w:rsidP="00B94BBC">
      <w:pPr>
        <w:pStyle w:val="ListParagraph"/>
        <w:numPr>
          <w:ilvl w:val="0"/>
          <w:numId w:val="5"/>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Developed a comprehensive strategic governance model to advance the work throughout the </w:t>
      </w:r>
      <w:r w:rsidR="004701D0" w:rsidRPr="004701D0">
        <w:rPr>
          <w:rFonts w:ascii="Raleway" w:eastAsia="Raleway" w:hAnsi="Raleway" w:cs="Raleway"/>
          <w:color w:val="000000" w:themeColor="text1"/>
          <w:sz w:val="24"/>
          <w:szCs w:val="24"/>
        </w:rPr>
        <w:t>system.</w:t>
      </w:r>
    </w:p>
    <w:p w14:paraId="40E2B504" w14:textId="526E8F47" w:rsidR="00860AFC" w:rsidRPr="004701D0" w:rsidRDefault="209EC7D4" w:rsidP="00B94BBC">
      <w:pPr>
        <w:pStyle w:val="ListParagraph"/>
        <w:numPr>
          <w:ilvl w:val="0"/>
          <w:numId w:val="5"/>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Conducted education sessions for strategy leads, site leaders, legal and HR to enhance their knowledge of the history of systemic racism; </w:t>
      </w:r>
      <w:r w:rsidR="004701D0">
        <w:rPr>
          <w:rFonts w:ascii="Raleway" w:eastAsia="Raleway" w:hAnsi="Raleway" w:cs="Raleway"/>
          <w:color w:val="000000" w:themeColor="text1"/>
          <w:sz w:val="24"/>
          <w:szCs w:val="24"/>
        </w:rPr>
        <w:t xml:space="preserve">built their cultural competence and </w:t>
      </w:r>
      <w:r w:rsidR="00615B04">
        <w:rPr>
          <w:rFonts w:ascii="Raleway" w:eastAsia="Raleway" w:hAnsi="Raleway" w:cs="Raleway"/>
          <w:color w:val="000000" w:themeColor="text1"/>
          <w:sz w:val="24"/>
          <w:szCs w:val="24"/>
        </w:rPr>
        <w:t>provided</w:t>
      </w:r>
      <w:r w:rsidRPr="004701D0">
        <w:rPr>
          <w:rFonts w:ascii="Raleway" w:eastAsia="Raleway" w:hAnsi="Raleway" w:cs="Raleway"/>
          <w:color w:val="000000" w:themeColor="text1"/>
          <w:sz w:val="24"/>
          <w:szCs w:val="24"/>
        </w:rPr>
        <w:t xml:space="preserve"> recommendations for day-to-day behaviors to address systemic </w:t>
      </w:r>
      <w:r w:rsidR="004701D0" w:rsidRPr="004701D0">
        <w:rPr>
          <w:rFonts w:ascii="Raleway" w:eastAsia="Raleway" w:hAnsi="Raleway" w:cs="Raleway"/>
          <w:color w:val="000000" w:themeColor="text1"/>
          <w:sz w:val="24"/>
          <w:szCs w:val="24"/>
        </w:rPr>
        <w:t>racism.</w:t>
      </w:r>
    </w:p>
    <w:p w14:paraId="7F225A30" w14:textId="64AC030B" w:rsidR="00860AFC" w:rsidRPr="004701D0" w:rsidRDefault="209EC7D4" w:rsidP="00B94BBC">
      <w:pPr>
        <w:pStyle w:val="ListParagraph"/>
        <w:numPr>
          <w:ilvl w:val="0"/>
          <w:numId w:val="5"/>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Provided each strategy lead with a coach to support their learning and development in creating an anti-racist environment.</w:t>
      </w:r>
    </w:p>
    <w:p w14:paraId="45FDB1D4" w14:textId="262E074A" w:rsidR="00860AFC" w:rsidRPr="004701D0" w:rsidRDefault="209EC7D4" w:rsidP="00B94BBC">
      <w:pPr>
        <w:pStyle w:val="ListParagraph"/>
        <w:numPr>
          <w:ilvl w:val="0"/>
          <w:numId w:val="5"/>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Coordinated the work of the P </w:t>
      </w:r>
      <w:r w:rsidR="491014AD" w:rsidRPr="590C4918">
        <w:rPr>
          <w:rFonts w:ascii="Raleway" w:eastAsia="Raleway" w:hAnsi="Raleway" w:cs="Raleway"/>
          <w:color w:val="000000" w:themeColor="text1"/>
          <w:sz w:val="24"/>
          <w:szCs w:val="24"/>
        </w:rPr>
        <w:t>&amp;</w:t>
      </w:r>
      <w:r w:rsidRPr="004701D0">
        <w:rPr>
          <w:rFonts w:ascii="Raleway" w:eastAsia="Raleway" w:hAnsi="Raleway" w:cs="Raleway"/>
          <w:color w:val="000000" w:themeColor="text1"/>
          <w:sz w:val="24"/>
          <w:szCs w:val="24"/>
        </w:rPr>
        <w:t xml:space="preserve">I </w:t>
      </w:r>
      <w:r w:rsidR="491014AD" w:rsidRPr="590C4918">
        <w:rPr>
          <w:rFonts w:ascii="Raleway" w:eastAsia="Raleway" w:hAnsi="Raleway" w:cs="Raleway"/>
          <w:color w:val="000000" w:themeColor="text1"/>
          <w:sz w:val="24"/>
          <w:szCs w:val="24"/>
        </w:rPr>
        <w:t>team</w:t>
      </w:r>
      <w:r w:rsidRPr="004701D0">
        <w:rPr>
          <w:rFonts w:ascii="Raleway" w:eastAsia="Raleway" w:hAnsi="Raleway" w:cs="Raleway"/>
          <w:color w:val="000000" w:themeColor="text1"/>
          <w:sz w:val="24"/>
          <w:szCs w:val="24"/>
        </w:rPr>
        <w:t xml:space="preserve"> and the strategy </w:t>
      </w:r>
      <w:r w:rsidR="004701D0" w:rsidRPr="004701D0">
        <w:rPr>
          <w:rFonts w:ascii="Raleway" w:eastAsia="Raleway" w:hAnsi="Raleway" w:cs="Raleway"/>
          <w:color w:val="000000" w:themeColor="text1"/>
          <w:sz w:val="24"/>
          <w:szCs w:val="24"/>
        </w:rPr>
        <w:t>leads.</w:t>
      </w:r>
    </w:p>
    <w:p w14:paraId="2D74F6C9" w14:textId="03150B0B" w:rsidR="124323B4" w:rsidRDefault="124323B4" w:rsidP="590C4918">
      <w:pPr>
        <w:pStyle w:val="ListParagraph"/>
        <w:numPr>
          <w:ilvl w:val="0"/>
          <w:numId w:val="5"/>
        </w:numPr>
        <w:spacing w:before="120" w:after="120" w:line="264" w:lineRule="auto"/>
        <w:rPr>
          <w:rFonts w:ascii="Raleway" w:eastAsia="Raleway" w:hAnsi="Raleway" w:cs="Raleway"/>
          <w:color w:val="000000" w:themeColor="text1"/>
          <w:sz w:val="24"/>
          <w:szCs w:val="24"/>
        </w:rPr>
      </w:pPr>
      <w:r w:rsidRPr="590C4918">
        <w:rPr>
          <w:rFonts w:ascii="Raleway" w:eastAsia="Raleway" w:hAnsi="Raleway" w:cs="Raleway"/>
          <w:color w:val="000000" w:themeColor="text1"/>
          <w:sz w:val="24"/>
          <w:szCs w:val="24"/>
        </w:rPr>
        <w:t xml:space="preserve">In collaboration with MSHS Project administrators, facilitated P&amp;I and strategy lead weekly and bi-weekly meetings. </w:t>
      </w:r>
    </w:p>
    <w:p w14:paraId="06B22D58" w14:textId="4B9EBA7B" w:rsidR="00860AFC" w:rsidRPr="004701D0" w:rsidRDefault="209EC7D4" w:rsidP="00B94BBC">
      <w:pPr>
        <w:pStyle w:val="ListParagraph"/>
        <w:numPr>
          <w:ilvl w:val="0"/>
          <w:numId w:val="5"/>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Partnered with specific strategy leads to support the development of a leadership model and shared measurement processes.</w:t>
      </w:r>
    </w:p>
    <w:p w14:paraId="034FC05A" w14:textId="7D1CBF05" w:rsidR="00860AFC" w:rsidRPr="0071562E" w:rsidRDefault="209EC7D4" w:rsidP="00B94BBC">
      <w:pPr>
        <w:pStyle w:val="ListParagraph"/>
        <w:numPr>
          <w:ilvl w:val="0"/>
          <w:numId w:val="5"/>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Partnered with the Road Map communications team to support internal and public communications.</w:t>
      </w:r>
    </w:p>
    <w:p w14:paraId="48A9E7DB" w14:textId="698BE405" w:rsidR="00860AFC" w:rsidRPr="004701D0" w:rsidRDefault="209EC7D4" w:rsidP="004701D0">
      <w:pPr>
        <w:spacing w:before="120" w:after="120" w:line="264" w:lineRule="auto"/>
        <w:rPr>
          <w:rFonts w:ascii="Raleway" w:eastAsia="Raleway" w:hAnsi="Raleway" w:cs="Raleway"/>
          <w:b/>
          <w:color w:val="000000" w:themeColor="text1"/>
          <w:sz w:val="24"/>
          <w:szCs w:val="24"/>
        </w:rPr>
      </w:pPr>
      <w:r w:rsidRPr="590C4918">
        <w:rPr>
          <w:rFonts w:ascii="Raleway" w:eastAsia="Raleway" w:hAnsi="Raleway" w:cs="Raleway"/>
          <w:b/>
          <w:color w:val="000000" w:themeColor="text1"/>
          <w:sz w:val="24"/>
          <w:szCs w:val="24"/>
        </w:rPr>
        <w:t>Outcomes</w:t>
      </w:r>
    </w:p>
    <w:p w14:paraId="7DD0E216" w14:textId="798B6940" w:rsidR="00860AFC" w:rsidRPr="004701D0" w:rsidRDefault="209EC7D4" w:rsidP="00B94BBC">
      <w:pPr>
        <w:pStyle w:val="ListParagraph"/>
        <w:numPr>
          <w:ilvl w:val="0"/>
          <w:numId w:val="4"/>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Strategy leads conduct their work with an anti-racism lens </w:t>
      </w:r>
      <w:r w:rsidR="7C10F1F8" w:rsidRPr="590C4918">
        <w:rPr>
          <w:rFonts w:ascii="Raleway" w:eastAsia="Raleway" w:hAnsi="Raleway" w:cs="Raleway"/>
          <w:color w:val="000000" w:themeColor="text1"/>
          <w:sz w:val="24"/>
          <w:szCs w:val="24"/>
        </w:rPr>
        <w:t xml:space="preserve">that </w:t>
      </w:r>
      <w:r w:rsidR="00615B04">
        <w:rPr>
          <w:rFonts w:ascii="Raleway" w:eastAsia="Raleway" w:hAnsi="Raleway" w:cs="Raleway"/>
          <w:color w:val="000000" w:themeColor="text1"/>
          <w:sz w:val="24"/>
          <w:szCs w:val="24"/>
        </w:rPr>
        <w:t>permeates</w:t>
      </w:r>
      <w:r w:rsidRPr="590C4918">
        <w:rPr>
          <w:rFonts w:ascii="Raleway" w:eastAsia="Raleway" w:hAnsi="Raleway" w:cs="Raleway"/>
          <w:color w:val="000000" w:themeColor="text1"/>
          <w:sz w:val="24"/>
          <w:szCs w:val="24"/>
        </w:rPr>
        <w:t xml:space="preserve"> </w:t>
      </w:r>
      <w:r w:rsidRPr="004701D0">
        <w:rPr>
          <w:rFonts w:ascii="Raleway" w:eastAsia="Raleway" w:hAnsi="Raleway" w:cs="Raleway"/>
          <w:color w:val="000000" w:themeColor="text1"/>
          <w:sz w:val="24"/>
          <w:szCs w:val="24"/>
        </w:rPr>
        <w:t xml:space="preserve">the </w:t>
      </w:r>
      <w:r w:rsidR="004701D0" w:rsidRPr="004701D0">
        <w:rPr>
          <w:rFonts w:ascii="Raleway" w:eastAsia="Raleway" w:hAnsi="Raleway" w:cs="Raleway"/>
          <w:color w:val="000000" w:themeColor="text1"/>
          <w:sz w:val="24"/>
          <w:szCs w:val="24"/>
        </w:rPr>
        <w:t>system.</w:t>
      </w:r>
      <w:r w:rsidRPr="004701D0">
        <w:rPr>
          <w:rFonts w:ascii="Raleway" w:eastAsia="Raleway" w:hAnsi="Raleway" w:cs="Raleway"/>
          <w:color w:val="000000" w:themeColor="text1"/>
          <w:sz w:val="24"/>
          <w:szCs w:val="24"/>
        </w:rPr>
        <w:t xml:space="preserve"> </w:t>
      </w:r>
    </w:p>
    <w:p w14:paraId="3107A1A8" w14:textId="45BD7A61" w:rsidR="00860AFC" w:rsidRPr="004701D0" w:rsidRDefault="209EC7D4" w:rsidP="00B94BBC">
      <w:pPr>
        <w:pStyle w:val="ListParagraph"/>
        <w:numPr>
          <w:ilvl w:val="0"/>
          <w:numId w:val="4"/>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Strategy leads and site leaders have greater </w:t>
      </w:r>
      <w:r w:rsidR="004701D0" w:rsidRPr="004701D0">
        <w:rPr>
          <w:rFonts w:ascii="Raleway" w:eastAsia="Raleway" w:hAnsi="Raleway" w:cs="Raleway"/>
          <w:color w:val="000000" w:themeColor="text1"/>
          <w:sz w:val="24"/>
          <w:szCs w:val="24"/>
        </w:rPr>
        <w:t>levels</w:t>
      </w:r>
      <w:r w:rsidRPr="004701D0">
        <w:rPr>
          <w:rFonts w:ascii="Raleway" w:eastAsia="Raleway" w:hAnsi="Raleway" w:cs="Raleway"/>
          <w:color w:val="000000" w:themeColor="text1"/>
          <w:sz w:val="24"/>
          <w:szCs w:val="24"/>
        </w:rPr>
        <w:t xml:space="preserve"> of self-awareness and their potential obstruction </w:t>
      </w:r>
      <w:r w:rsidR="004701D0" w:rsidRPr="004701D0">
        <w:rPr>
          <w:rFonts w:ascii="Raleway" w:eastAsia="Raleway" w:hAnsi="Raleway" w:cs="Raleway"/>
          <w:color w:val="000000" w:themeColor="text1"/>
          <w:sz w:val="24"/>
          <w:szCs w:val="24"/>
        </w:rPr>
        <w:t>spots</w:t>
      </w:r>
      <w:r w:rsidR="60F722BF" w:rsidRPr="590C4918">
        <w:rPr>
          <w:rFonts w:ascii="Raleway" w:eastAsia="Raleway" w:hAnsi="Raleway" w:cs="Raleway"/>
          <w:color w:val="000000" w:themeColor="text1"/>
          <w:sz w:val="24"/>
          <w:szCs w:val="24"/>
        </w:rPr>
        <w:t xml:space="preserve"> and biases</w:t>
      </w:r>
      <w:r w:rsidR="004701D0" w:rsidRPr="004701D0">
        <w:rPr>
          <w:rFonts w:ascii="Raleway" w:eastAsia="Raleway" w:hAnsi="Raleway" w:cs="Raleway"/>
          <w:color w:val="000000" w:themeColor="text1"/>
          <w:sz w:val="24"/>
          <w:szCs w:val="24"/>
        </w:rPr>
        <w:t>.</w:t>
      </w:r>
    </w:p>
    <w:p w14:paraId="20753336" w14:textId="5921EBF3" w:rsidR="00860AFC" w:rsidRPr="004701D0" w:rsidRDefault="209EC7D4" w:rsidP="00B94BBC">
      <w:pPr>
        <w:pStyle w:val="ListParagraph"/>
        <w:numPr>
          <w:ilvl w:val="0"/>
          <w:numId w:val="4"/>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The system now has a leadership development model that centers </w:t>
      </w:r>
      <w:r w:rsidR="004701D0">
        <w:rPr>
          <w:rFonts w:ascii="Raleway" w:eastAsia="Raleway" w:hAnsi="Raleway" w:cs="Raleway"/>
          <w:color w:val="000000" w:themeColor="text1"/>
          <w:sz w:val="24"/>
          <w:szCs w:val="24"/>
        </w:rPr>
        <w:t xml:space="preserve">on </w:t>
      </w:r>
      <w:r w:rsidRPr="004701D0">
        <w:rPr>
          <w:rFonts w:ascii="Raleway" w:eastAsia="Raleway" w:hAnsi="Raleway" w:cs="Raleway"/>
          <w:color w:val="000000" w:themeColor="text1"/>
          <w:sz w:val="24"/>
          <w:szCs w:val="24"/>
        </w:rPr>
        <w:t xml:space="preserve">anti-racist leadership </w:t>
      </w:r>
      <w:r w:rsidR="004701D0" w:rsidRPr="004701D0">
        <w:rPr>
          <w:rFonts w:ascii="Raleway" w:eastAsia="Raleway" w:hAnsi="Raleway" w:cs="Raleway"/>
          <w:color w:val="000000" w:themeColor="text1"/>
          <w:sz w:val="24"/>
          <w:szCs w:val="24"/>
        </w:rPr>
        <w:t>practices.</w:t>
      </w:r>
    </w:p>
    <w:p w14:paraId="0D64DD5C" w14:textId="108CC1E2" w:rsidR="00860AFC" w:rsidRPr="004701D0" w:rsidRDefault="209EC7D4" w:rsidP="00B94BBC">
      <w:pPr>
        <w:pStyle w:val="ListParagraph"/>
        <w:numPr>
          <w:ilvl w:val="0"/>
          <w:numId w:val="4"/>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Data collection and analysis practices have been enhanced to uncover inequities in the </w:t>
      </w:r>
      <w:r w:rsidR="004701D0" w:rsidRPr="004701D0">
        <w:rPr>
          <w:rFonts w:ascii="Raleway" w:eastAsia="Raleway" w:hAnsi="Raleway" w:cs="Raleway"/>
          <w:color w:val="000000" w:themeColor="text1"/>
          <w:sz w:val="24"/>
          <w:szCs w:val="24"/>
        </w:rPr>
        <w:t>system.</w:t>
      </w:r>
    </w:p>
    <w:p w14:paraId="16E12F9D" w14:textId="061BE310" w:rsidR="00860AFC" w:rsidRPr="0071562E" w:rsidRDefault="209EC7D4" w:rsidP="00B94BBC">
      <w:pPr>
        <w:pStyle w:val="ListParagraph"/>
        <w:numPr>
          <w:ilvl w:val="0"/>
          <w:numId w:val="4"/>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There is a shared measurement model to assess </w:t>
      </w:r>
      <w:r w:rsidR="004701D0" w:rsidRPr="004701D0">
        <w:rPr>
          <w:rFonts w:ascii="Raleway" w:eastAsia="Raleway" w:hAnsi="Raleway" w:cs="Raleway"/>
          <w:color w:val="000000" w:themeColor="text1"/>
          <w:sz w:val="24"/>
          <w:szCs w:val="24"/>
        </w:rPr>
        <w:t>progress.</w:t>
      </w:r>
      <w:r w:rsidRPr="004701D0">
        <w:rPr>
          <w:rFonts w:ascii="Raleway" w:eastAsia="Raleway" w:hAnsi="Raleway" w:cs="Raleway"/>
          <w:color w:val="000000" w:themeColor="text1"/>
          <w:sz w:val="24"/>
          <w:szCs w:val="24"/>
        </w:rPr>
        <w:t xml:space="preserve"> </w:t>
      </w:r>
    </w:p>
    <w:p w14:paraId="52A5839F" w14:textId="53D6823C" w:rsidR="00860AFC" w:rsidRPr="004701D0" w:rsidRDefault="209EC7D4" w:rsidP="004701D0">
      <w:p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2023 Progress</w:t>
      </w:r>
    </w:p>
    <w:p w14:paraId="0D79C6A6" w14:textId="08015537" w:rsidR="00860AFC" w:rsidRPr="004701D0" w:rsidRDefault="209EC7D4" w:rsidP="00B94BBC">
      <w:pPr>
        <w:pStyle w:val="ListParagraph"/>
        <w:numPr>
          <w:ilvl w:val="0"/>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 xml:space="preserve">Guided Vision and Strategy </w:t>
      </w:r>
    </w:p>
    <w:p w14:paraId="468AE6C8" w14:textId="28C562A0"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Spearheaded pivotal forums such as EDLB, PI, and Strategy Lead presentations and meetings, crucial for tracking progress and setting clear, impactful objectives.</w:t>
      </w:r>
    </w:p>
    <w:p w14:paraId="5AD42788" w14:textId="37A1729C"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Facilitated the development of four synergistic goals and preliminary measures for the 11 Antiracism Roadmap strategies, laying a foundation for managing and achieving overall Roadmap progress.</w:t>
      </w:r>
    </w:p>
    <w:p w14:paraId="48B1BBE1" w14:textId="7161C56B"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Integrated Strategy Lead coaching, aligned with the MSHS Leadership Model, to enhance strategy implementation effectiveness.</w:t>
      </w:r>
    </w:p>
    <w:p w14:paraId="3135D854" w14:textId="3358B32B" w:rsidR="00860AFC"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Provided</w:t>
      </w:r>
      <w:r w:rsidR="004701D0">
        <w:rPr>
          <w:rFonts w:ascii="Raleway" w:eastAsia="Raleway" w:hAnsi="Raleway" w:cs="Raleway"/>
          <w:color w:val="000000" w:themeColor="text1"/>
          <w:sz w:val="24"/>
          <w:szCs w:val="24"/>
        </w:rPr>
        <w:t xml:space="preserve"> </w:t>
      </w:r>
      <w:r w:rsidRPr="004701D0">
        <w:rPr>
          <w:rFonts w:ascii="Raleway" w:eastAsia="Raleway" w:hAnsi="Raleway" w:cs="Raleway"/>
          <w:color w:val="000000" w:themeColor="text1"/>
          <w:sz w:val="24"/>
          <w:szCs w:val="24"/>
        </w:rPr>
        <w:t>an initial review of the RUSH Health Equity process to support Strategy Lead work to enhance quantitative outcome evaluation.</w:t>
      </w:r>
    </w:p>
    <w:p w14:paraId="269E5B18" w14:textId="77777777" w:rsidR="0071562E" w:rsidRPr="0071562E" w:rsidRDefault="0071562E" w:rsidP="0071562E">
      <w:pPr>
        <w:pStyle w:val="ListParagraph"/>
        <w:spacing w:before="120" w:after="120" w:line="264" w:lineRule="auto"/>
        <w:ind w:left="1440"/>
        <w:rPr>
          <w:rFonts w:ascii="Raleway" w:eastAsia="Raleway" w:hAnsi="Raleway" w:cs="Raleway"/>
          <w:color w:val="000000" w:themeColor="text1"/>
          <w:sz w:val="24"/>
          <w:szCs w:val="24"/>
        </w:rPr>
      </w:pPr>
    </w:p>
    <w:p w14:paraId="351900BA" w14:textId="2060468A" w:rsidR="00860AFC" w:rsidRPr="004701D0" w:rsidRDefault="209EC7D4" w:rsidP="00B94BBC">
      <w:pPr>
        <w:pStyle w:val="ListParagraph"/>
        <w:numPr>
          <w:ilvl w:val="0"/>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Supported Aligned Activities</w:t>
      </w:r>
    </w:p>
    <w:p w14:paraId="2A0E2B99" w14:textId="04882F5B"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Collaborated closely with Strategy Leads in defining actions for strategy advancement across a continuum of "being," "learning," "doing," and "impacting" as Anti-Racist Leaders.</w:t>
      </w:r>
    </w:p>
    <w:p w14:paraId="752DD273" w14:textId="7F3F49BC"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Developed key recommendations like the CAO DEI job description, infusing an Anti-Racist focus into specific Strategies.</w:t>
      </w:r>
    </w:p>
    <w:p w14:paraId="56D9B08A" w14:textId="10BDBC1F"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Supported the development of </w:t>
      </w:r>
      <w:r w:rsidR="004701D0">
        <w:rPr>
          <w:rFonts w:ascii="Raleway" w:eastAsia="Raleway" w:hAnsi="Raleway" w:cs="Raleway"/>
          <w:color w:val="000000" w:themeColor="text1"/>
          <w:sz w:val="24"/>
          <w:szCs w:val="24"/>
        </w:rPr>
        <w:t xml:space="preserve">a </w:t>
      </w:r>
      <w:r w:rsidRPr="004701D0">
        <w:rPr>
          <w:rFonts w:ascii="Raleway" w:eastAsia="Raleway" w:hAnsi="Raleway" w:cs="Raleway"/>
          <w:color w:val="000000" w:themeColor="text1"/>
          <w:sz w:val="24"/>
          <w:szCs w:val="24"/>
        </w:rPr>
        <w:t xml:space="preserve">shared measurement </w:t>
      </w:r>
      <w:r w:rsidR="004701D0" w:rsidRPr="004701D0">
        <w:rPr>
          <w:rFonts w:ascii="Raleway" w:eastAsia="Raleway" w:hAnsi="Raleway" w:cs="Raleway"/>
          <w:color w:val="000000" w:themeColor="text1"/>
          <w:sz w:val="24"/>
          <w:szCs w:val="24"/>
        </w:rPr>
        <w:t>approach.</w:t>
      </w:r>
      <w:r w:rsidRPr="004701D0">
        <w:rPr>
          <w:rFonts w:ascii="Raleway" w:eastAsia="Raleway" w:hAnsi="Raleway" w:cs="Raleway"/>
          <w:color w:val="000000" w:themeColor="text1"/>
          <w:sz w:val="24"/>
          <w:szCs w:val="24"/>
        </w:rPr>
        <w:t xml:space="preserve"> </w:t>
      </w:r>
    </w:p>
    <w:p w14:paraId="3ACF6793" w14:textId="6869D688"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Embedded wellness and resilience-building elements within strategic development, supplemented by a focus on staff well-being through developing "Room to Breathe" Let's Connect sessions.</w:t>
      </w:r>
    </w:p>
    <w:p w14:paraId="66280CA8" w14:textId="419ED5C5" w:rsidR="00860AFC" w:rsidRPr="004701D0" w:rsidRDefault="00860AFC" w:rsidP="004701D0">
      <w:pPr>
        <w:spacing w:before="120" w:after="120" w:line="264" w:lineRule="auto"/>
        <w:ind w:left="1440"/>
        <w:rPr>
          <w:rFonts w:ascii="Raleway" w:eastAsia="Raleway" w:hAnsi="Raleway" w:cs="Raleway"/>
          <w:color w:val="000000" w:themeColor="text1"/>
          <w:sz w:val="24"/>
          <w:szCs w:val="24"/>
        </w:rPr>
      </w:pPr>
    </w:p>
    <w:p w14:paraId="69B412FE" w14:textId="0CCB761F" w:rsidR="00860AFC" w:rsidRPr="004701D0" w:rsidRDefault="209EC7D4" w:rsidP="00B94BBC">
      <w:pPr>
        <w:pStyle w:val="ListParagraph"/>
        <w:numPr>
          <w:ilvl w:val="0"/>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Fostered Most Impacted-Centered Leadership</w:t>
      </w:r>
      <w:r w:rsidRPr="004701D0">
        <w:rPr>
          <w:rFonts w:ascii="Raleway" w:eastAsia="Raleway" w:hAnsi="Raleway" w:cs="Raleway"/>
          <w:b/>
          <w:bCs/>
          <w:color w:val="000000" w:themeColor="text1"/>
          <w:sz w:val="24"/>
          <w:szCs w:val="24"/>
          <w:vertAlign w:val="superscript"/>
        </w:rPr>
        <w:t>1</w:t>
      </w:r>
    </w:p>
    <w:p w14:paraId="4FC8959D" w14:textId="59E69D9E"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Incorporated feedback and perspectives </w:t>
      </w:r>
      <w:r w:rsidR="004701D0">
        <w:rPr>
          <w:rFonts w:ascii="Raleway" w:eastAsia="Raleway" w:hAnsi="Raleway" w:cs="Raleway"/>
          <w:color w:val="000000" w:themeColor="text1"/>
          <w:sz w:val="24"/>
          <w:szCs w:val="24"/>
        </w:rPr>
        <w:t xml:space="preserve">of the </w:t>
      </w:r>
      <w:r w:rsidRPr="004701D0">
        <w:rPr>
          <w:rFonts w:ascii="Raleway" w:eastAsia="Raleway" w:hAnsi="Raleway" w:cs="Raleway"/>
          <w:color w:val="000000" w:themeColor="text1"/>
          <w:sz w:val="24"/>
          <w:szCs w:val="24"/>
        </w:rPr>
        <w:t>most impacted constituencies into the goal-planning process, enhancing public support and engagement.</w:t>
      </w:r>
    </w:p>
    <w:p w14:paraId="6D817D71" w14:textId="37E1383C"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Developed a communication template to improve Strategy Leads' effectiveness and mitigate risks associated with implementing the Roadmap.</w:t>
      </w:r>
    </w:p>
    <w:p w14:paraId="7145BACE" w14:textId="1F185E21" w:rsidR="00860AFC" w:rsidRPr="004701D0" w:rsidRDefault="00860AFC" w:rsidP="004701D0">
      <w:pPr>
        <w:spacing w:before="120" w:after="120" w:line="264" w:lineRule="auto"/>
        <w:ind w:left="1440"/>
        <w:rPr>
          <w:rFonts w:ascii="Raleway" w:eastAsia="Raleway" w:hAnsi="Raleway" w:cs="Raleway"/>
          <w:color w:val="000000" w:themeColor="text1"/>
          <w:sz w:val="24"/>
          <w:szCs w:val="24"/>
        </w:rPr>
      </w:pPr>
    </w:p>
    <w:p w14:paraId="77CA9960" w14:textId="2CEAABCA" w:rsidR="00860AFC" w:rsidRPr="004701D0" w:rsidRDefault="209EC7D4" w:rsidP="00B94BBC">
      <w:pPr>
        <w:pStyle w:val="ListParagraph"/>
        <w:numPr>
          <w:ilvl w:val="0"/>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Initiated Policy Review and Advocacy</w:t>
      </w:r>
    </w:p>
    <w:p w14:paraId="13A522BC" w14:textId="4980E007"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Conducted an extensive literature review to understand racial inequities in Medicaid reimbursement rates and their impact on MSHS.</w:t>
      </w:r>
    </w:p>
    <w:p w14:paraId="5F29945B" w14:textId="616D22A7"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Highlighted </w:t>
      </w:r>
      <w:r w:rsidR="004701D0">
        <w:rPr>
          <w:rFonts w:ascii="Raleway" w:eastAsia="Raleway" w:hAnsi="Raleway" w:cs="Raleway"/>
          <w:color w:val="000000" w:themeColor="text1"/>
          <w:sz w:val="24"/>
          <w:szCs w:val="24"/>
        </w:rPr>
        <w:t>vital</w:t>
      </w:r>
      <w:r w:rsidRPr="004701D0">
        <w:rPr>
          <w:rFonts w:ascii="Raleway" w:eastAsia="Raleway" w:hAnsi="Raleway" w:cs="Raleway"/>
          <w:color w:val="000000" w:themeColor="text1"/>
          <w:sz w:val="24"/>
          <w:szCs w:val="24"/>
        </w:rPr>
        <w:t xml:space="preserve"> factors contributing to racial disparities in healthcare, particularly in the New York City metropolitan area.</w:t>
      </w:r>
    </w:p>
    <w:p w14:paraId="2D4405F8" w14:textId="0AEB9247" w:rsidR="00860AFC" w:rsidRPr="004701D0" w:rsidRDefault="209EC7D4" w:rsidP="00B94BBC">
      <w:pPr>
        <w:pStyle w:val="ListParagraph"/>
        <w:numPr>
          <w:ilvl w:val="1"/>
          <w:numId w:val="3"/>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Offered strategic recommendations aligned with the Antiracism Road Map, including advocating for policy reform, promoting data transparency, and enhancing cultural competency.</w:t>
      </w:r>
    </w:p>
    <w:p w14:paraId="0E7A047F" w14:textId="32312837" w:rsidR="00860AFC" w:rsidRPr="004701D0" w:rsidRDefault="209EC7D4" w:rsidP="004701D0">
      <w:pPr>
        <w:spacing w:before="120" w:after="120" w:line="264" w:lineRule="auto"/>
        <w:rPr>
          <w:rFonts w:ascii="Raleway" w:eastAsia="Raleway" w:hAnsi="Raleway" w:cs="Raleway"/>
          <w:b/>
          <w:strike/>
          <w:color w:val="000000" w:themeColor="text1"/>
          <w:sz w:val="24"/>
          <w:szCs w:val="24"/>
        </w:rPr>
      </w:pPr>
      <w:r w:rsidRPr="004701D0">
        <w:rPr>
          <w:rFonts w:ascii="Raleway" w:eastAsia="Raleway" w:hAnsi="Raleway" w:cs="Raleway"/>
          <w:b/>
          <w:bCs/>
          <w:color w:val="000000" w:themeColor="text1"/>
          <w:sz w:val="24"/>
          <w:szCs w:val="24"/>
        </w:rPr>
        <w:t xml:space="preserve">Forward Recommendations </w:t>
      </w:r>
    </w:p>
    <w:p w14:paraId="57A2A6B2" w14:textId="3FF095CF" w:rsidR="29077A06" w:rsidRDefault="29077A06" w:rsidP="590C4918">
      <w:pPr>
        <w:spacing w:before="120" w:after="120" w:line="264" w:lineRule="auto"/>
        <w:rPr>
          <w:rFonts w:ascii="Raleway" w:eastAsia="Raleway" w:hAnsi="Raleway" w:cs="Raleway"/>
          <w:color w:val="000000" w:themeColor="text1"/>
          <w:sz w:val="24"/>
          <w:szCs w:val="24"/>
        </w:rPr>
      </w:pPr>
      <w:r w:rsidRPr="590C4918">
        <w:rPr>
          <w:rFonts w:ascii="Raleway" w:eastAsia="Raleway" w:hAnsi="Raleway" w:cs="Raleway"/>
          <w:color w:val="000000" w:themeColor="text1"/>
          <w:sz w:val="24"/>
          <w:szCs w:val="24"/>
        </w:rPr>
        <w:t>This report highlights recommendations that build upon these accomplishments. We propose strategic initiatives that consolidate our past successes and chart a path forward for sustained impact. These recommendations are designed to deepen MSHS's commitment to antiracism, broaden its scope to embrace intersectionality, and integrate patient and community voices into its framework. We believe implementing these recommendations will be pivotal in elevating MSHS's position as a leader in equitable healthcare delivery.</w:t>
      </w:r>
    </w:p>
    <w:p w14:paraId="7131866F" w14:textId="444FBBCF" w:rsidR="00860AFC" w:rsidRPr="004701D0" w:rsidRDefault="00860AFC" w:rsidP="004701D0">
      <w:pPr>
        <w:spacing w:before="120" w:after="120" w:line="264" w:lineRule="auto"/>
        <w:rPr>
          <w:rFonts w:ascii="Raleway" w:eastAsia="Raleway" w:hAnsi="Raleway" w:cs="Raleway"/>
          <w:b/>
          <w:bCs/>
          <w:strike/>
          <w:color w:val="000000" w:themeColor="text1"/>
          <w:sz w:val="24"/>
          <w:szCs w:val="24"/>
        </w:rPr>
      </w:pPr>
    </w:p>
    <w:p w14:paraId="2320FCAE" w14:textId="0E766179" w:rsidR="00860AFC" w:rsidRPr="004701D0" w:rsidRDefault="673BDC30" w:rsidP="00B94BBC">
      <w:pPr>
        <w:pStyle w:val="ListParagraph"/>
        <w:numPr>
          <w:ilvl w:val="0"/>
          <w:numId w:val="2"/>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 xml:space="preserve">Refocus </w:t>
      </w:r>
      <w:r w:rsidR="209EC7D4" w:rsidRPr="004701D0">
        <w:rPr>
          <w:rFonts w:ascii="Raleway" w:eastAsia="Raleway" w:hAnsi="Raleway" w:cs="Raleway"/>
          <w:b/>
          <w:bCs/>
          <w:color w:val="000000" w:themeColor="text1"/>
          <w:sz w:val="24"/>
          <w:szCs w:val="24"/>
        </w:rPr>
        <w:t>Roadmap Mission</w:t>
      </w:r>
    </w:p>
    <w:p w14:paraId="1EE68008" w14:textId="437A8E87" w:rsidR="00860AFC" w:rsidRPr="004701D0" w:rsidRDefault="209EC7D4" w:rsidP="00B94BBC">
      <w:pPr>
        <w:pStyle w:val="ListParagraph"/>
        <w:numPr>
          <w:ilvl w:val="1"/>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Link</w:t>
      </w:r>
      <w:r w:rsidR="004701D0" w:rsidRPr="004701D0">
        <w:rPr>
          <w:rFonts w:ascii="Raleway" w:eastAsia="Raleway" w:hAnsi="Raleway" w:cs="Raleway"/>
          <w:b/>
          <w:bCs/>
          <w:strike/>
          <w:color w:val="000000" w:themeColor="text1"/>
          <w:sz w:val="24"/>
          <w:szCs w:val="24"/>
        </w:rPr>
        <w:t xml:space="preserve"> </w:t>
      </w:r>
      <w:r w:rsidRPr="004701D0">
        <w:rPr>
          <w:rFonts w:ascii="Raleway" w:eastAsia="Raleway" w:hAnsi="Raleway" w:cs="Raleway"/>
          <w:b/>
          <w:bCs/>
          <w:color w:val="000000" w:themeColor="text1"/>
          <w:sz w:val="24"/>
          <w:szCs w:val="24"/>
        </w:rPr>
        <w:t>Equity and Sustainability</w:t>
      </w:r>
      <w:r w:rsidRPr="004701D0">
        <w:rPr>
          <w:rFonts w:ascii="Raleway" w:eastAsia="Raleway" w:hAnsi="Raleway" w:cs="Raleway"/>
          <w:color w:val="000000" w:themeColor="text1"/>
          <w:sz w:val="24"/>
          <w:szCs w:val="24"/>
        </w:rPr>
        <w:t>: Illustrate how integrating equity and antiracism strategies can boost organizational sustainability by potentially reducing costs, increasing funding, and enhancing operational efficiency.</w:t>
      </w:r>
    </w:p>
    <w:p w14:paraId="0FCD3E17" w14:textId="75A4D8C2" w:rsidR="0071562E" w:rsidRDefault="209EC7D4" w:rsidP="00B94BBC">
      <w:pPr>
        <w:pStyle w:val="ListParagraph"/>
        <w:numPr>
          <w:ilvl w:val="1"/>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Embrac</w:t>
      </w:r>
      <w:r w:rsidR="004701D0" w:rsidRPr="004701D0">
        <w:rPr>
          <w:rFonts w:ascii="Raleway" w:eastAsia="Raleway" w:hAnsi="Raleway" w:cs="Raleway"/>
          <w:b/>
          <w:bCs/>
          <w:strike/>
          <w:color w:val="000000" w:themeColor="text1"/>
          <w:sz w:val="24"/>
          <w:szCs w:val="24"/>
        </w:rPr>
        <w:t>e</w:t>
      </w:r>
      <w:r w:rsidRPr="004701D0">
        <w:rPr>
          <w:rFonts w:ascii="Raleway" w:eastAsia="Raleway" w:hAnsi="Raleway" w:cs="Raleway"/>
          <w:b/>
          <w:bCs/>
          <w:color w:val="000000" w:themeColor="text1"/>
          <w:sz w:val="24"/>
          <w:szCs w:val="24"/>
        </w:rPr>
        <w:t xml:space="preserve"> Intersectionality</w:t>
      </w:r>
      <w:r w:rsidRPr="004701D0">
        <w:rPr>
          <w:rFonts w:ascii="Raleway" w:eastAsia="Raleway" w:hAnsi="Raleway" w:cs="Raleway"/>
          <w:color w:val="000000" w:themeColor="text1"/>
          <w:sz w:val="24"/>
          <w:szCs w:val="24"/>
        </w:rPr>
        <w:t xml:space="preserve">: Broaden the Antiracism Road Map to explicitly encompass intersectional perspectives, addressing racism's interconnection with other forms of discrimination like Antisemitism, Islamophobia, and Anti-Transgender </w:t>
      </w:r>
      <w:r w:rsidR="6905CCB0" w:rsidRPr="590C4918">
        <w:rPr>
          <w:rFonts w:ascii="Raleway" w:eastAsia="Raleway" w:hAnsi="Raleway" w:cs="Raleway"/>
          <w:color w:val="000000" w:themeColor="text1"/>
          <w:sz w:val="24"/>
          <w:szCs w:val="24"/>
        </w:rPr>
        <w:t>a</w:t>
      </w:r>
      <w:r w:rsidRPr="590C4918">
        <w:rPr>
          <w:rFonts w:ascii="Raleway" w:eastAsia="Raleway" w:hAnsi="Raleway" w:cs="Raleway"/>
          <w:color w:val="000000" w:themeColor="text1"/>
          <w:sz w:val="24"/>
          <w:szCs w:val="24"/>
        </w:rPr>
        <w:t>ttitudes</w:t>
      </w:r>
      <w:r w:rsidRPr="004701D0">
        <w:rPr>
          <w:rFonts w:ascii="Raleway" w:eastAsia="Raleway" w:hAnsi="Raleway" w:cs="Raleway"/>
          <w:color w:val="000000" w:themeColor="text1"/>
          <w:sz w:val="24"/>
          <w:szCs w:val="24"/>
        </w:rPr>
        <w:t>.</w:t>
      </w:r>
    </w:p>
    <w:p w14:paraId="7B112779" w14:textId="7DF408AE" w:rsidR="0071562E" w:rsidRDefault="00DF105F" w:rsidP="0071562E">
      <w:pPr>
        <w:pStyle w:val="ListParagraph"/>
        <w:numPr>
          <w:ilvl w:val="1"/>
          <w:numId w:val="1"/>
        </w:numPr>
        <w:spacing w:before="120" w:after="120" w:line="264" w:lineRule="auto"/>
        <w:rPr>
          <w:rFonts w:ascii="Raleway" w:eastAsia="Raleway" w:hAnsi="Raleway" w:cs="Raleway"/>
          <w:color w:val="000000" w:themeColor="text1"/>
          <w:sz w:val="24"/>
          <w:szCs w:val="24"/>
        </w:rPr>
      </w:pPr>
      <w:r w:rsidRPr="007967DD">
        <w:rPr>
          <w:rFonts w:ascii="Raleway" w:eastAsia="Raleway" w:hAnsi="Raleway" w:cs="Raleway"/>
          <w:b/>
          <w:bCs/>
          <w:color w:val="000000" w:themeColor="text1"/>
          <w:sz w:val="24"/>
          <w:szCs w:val="24"/>
        </w:rPr>
        <w:t xml:space="preserve">Enhance </w:t>
      </w:r>
      <w:r w:rsidR="000D2198" w:rsidRPr="007967DD">
        <w:rPr>
          <w:rFonts w:ascii="Raleway" w:eastAsia="Raleway" w:hAnsi="Raleway" w:cs="Raleway"/>
          <w:b/>
          <w:bCs/>
          <w:color w:val="000000" w:themeColor="text1"/>
          <w:sz w:val="24"/>
          <w:szCs w:val="24"/>
        </w:rPr>
        <w:t xml:space="preserve">and support </w:t>
      </w:r>
      <w:r w:rsidR="008E3500" w:rsidRPr="007967DD">
        <w:rPr>
          <w:rFonts w:ascii="Raleway" w:eastAsia="Raleway" w:hAnsi="Raleway" w:cs="Raleway"/>
          <w:b/>
          <w:bCs/>
          <w:color w:val="000000" w:themeColor="text1"/>
          <w:sz w:val="24"/>
          <w:szCs w:val="24"/>
        </w:rPr>
        <w:t>the Doma</w:t>
      </w:r>
      <w:r w:rsidR="00C62380">
        <w:rPr>
          <w:rFonts w:ascii="Raleway" w:eastAsia="Raleway" w:hAnsi="Raleway" w:cs="Raleway"/>
          <w:b/>
          <w:bCs/>
          <w:color w:val="000000" w:themeColor="text1"/>
          <w:sz w:val="24"/>
          <w:szCs w:val="24"/>
        </w:rPr>
        <w:t>i</w:t>
      </w:r>
      <w:r w:rsidR="008E3500" w:rsidRPr="007967DD">
        <w:rPr>
          <w:rFonts w:ascii="Raleway" w:eastAsia="Raleway" w:hAnsi="Raleway" w:cs="Raleway"/>
          <w:b/>
          <w:bCs/>
          <w:color w:val="000000" w:themeColor="text1"/>
          <w:sz w:val="24"/>
          <w:szCs w:val="24"/>
        </w:rPr>
        <w:t xml:space="preserve">n 2023 Focus </w:t>
      </w:r>
      <w:r w:rsidR="002B338B" w:rsidRPr="007967DD">
        <w:rPr>
          <w:rFonts w:ascii="Raleway" w:eastAsia="Raleway" w:hAnsi="Raleway" w:cs="Raleway"/>
          <w:b/>
          <w:bCs/>
          <w:color w:val="000000" w:themeColor="text1"/>
          <w:sz w:val="24"/>
          <w:szCs w:val="24"/>
        </w:rPr>
        <w:t xml:space="preserve">and </w:t>
      </w:r>
      <w:r w:rsidR="008E3500" w:rsidRPr="007967DD">
        <w:rPr>
          <w:rFonts w:ascii="Raleway" w:eastAsia="Raleway" w:hAnsi="Raleway" w:cs="Raleway"/>
          <w:b/>
          <w:bCs/>
          <w:color w:val="000000" w:themeColor="text1"/>
          <w:sz w:val="24"/>
          <w:szCs w:val="24"/>
        </w:rPr>
        <w:t>Associated Metrics.</w:t>
      </w:r>
      <w:r w:rsidR="008E3500" w:rsidRPr="007967DD">
        <w:rPr>
          <w:rFonts w:ascii="Raleway" w:eastAsia="Raleway" w:hAnsi="Raleway" w:cs="Raleway"/>
          <w:color w:val="000000" w:themeColor="text1"/>
          <w:sz w:val="24"/>
          <w:szCs w:val="24"/>
        </w:rPr>
        <w:t xml:space="preserve"> </w:t>
      </w:r>
      <w:r w:rsidR="00FB5C4F" w:rsidRPr="007967DD">
        <w:rPr>
          <w:rFonts w:ascii="Raleway" w:eastAsia="Raleway" w:hAnsi="Raleway" w:cs="Raleway"/>
          <w:color w:val="000000" w:themeColor="text1"/>
          <w:sz w:val="24"/>
          <w:szCs w:val="24"/>
        </w:rPr>
        <w:t xml:space="preserve">We recommend enhancing and supporting the Domain 2023 Focus and Associated Metrics. These metrics provide a solid foundation for measuring the success of the Roadmap. To optimize their effectiveness, we advise ensuring that the metrics are both process- and outcome-oriented. This approach will facilitate a </w:t>
      </w:r>
      <w:r w:rsidR="00615B04">
        <w:rPr>
          <w:rFonts w:ascii="Raleway" w:eastAsia="Raleway" w:hAnsi="Raleway" w:cs="Raleway"/>
          <w:color w:val="000000" w:themeColor="text1"/>
          <w:sz w:val="24"/>
          <w:szCs w:val="24"/>
        </w:rPr>
        <w:t>more vital</w:t>
      </w:r>
      <w:r w:rsidR="00FB5C4F" w:rsidRPr="007967DD">
        <w:rPr>
          <w:rFonts w:ascii="Raleway" w:eastAsia="Raleway" w:hAnsi="Raleway" w:cs="Raleway"/>
          <w:color w:val="000000" w:themeColor="text1"/>
          <w:sz w:val="24"/>
          <w:szCs w:val="24"/>
        </w:rPr>
        <w:t xml:space="preserve"> link between equity and organizational sustainability. Additionally, it is crucial to back these metrics with robust operational </w:t>
      </w:r>
      <w:r w:rsidR="007967DD" w:rsidRPr="007967DD">
        <w:rPr>
          <w:rFonts w:ascii="Raleway" w:eastAsia="Raleway" w:hAnsi="Raleway" w:cs="Raleway"/>
          <w:color w:val="000000" w:themeColor="text1"/>
          <w:sz w:val="24"/>
          <w:szCs w:val="24"/>
        </w:rPr>
        <w:t xml:space="preserve">and </w:t>
      </w:r>
      <w:r w:rsidR="00FB5C4F" w:rsidRPr="007967DD">
        <w:rPr>
          <w:rFonts w:ascii="Raleway" w:eastAsia="Raleway" w:hAnsi="Raleway" w:cs="Raleway"/>
          <w:color w:val="000000" w:themeColor="text1"/>
          <w:sz w:val="24"/>
          <w:szCs w:val="24"/>
        </w:rPr>
        <w:t xml:space="preserve">continuous learning </w:t>
      </w:r>
      <w:r w:rsidR="007967DD" w:rsidRPr="007967DD">
        <w:rPr>
          <w:rFonts w:ascii="Raleway" w:eastAsia="Raleway" w:hAnsi="Raleway" w:cs="Raleway"/>
          <w:color w:val="000000" w:themeColor="text1"/>
          <w:sz w:val="24"/>
          <w:szCs w:val="24"/>
        </w:rPr>
        <w:t xml:space="preserve">to </w:t>
      </w:r>
      <w:r w:rsidR="00FB5C4F" w:rsidRPr="007967DD">
        <w:rPr>
          <w:rFonts w:ascii="Raleway" w:eastAsia="Raleway" w:hAnsi="Raleway" w:cs="Raleway"/>
          <w:color w:val="000000" w:themeColor="text1"/>
          <w:sz w:val="24"/>
          <w:szCs w:val="24"/>
        </w:rPr>
        <w:t xml:space="preserve">enable the effective collection, processing, and improvement of these metrics. </w:t>
      </w:r>
    </w:p>
    <w:p w14:paraId="5E9947BF" w14:textId="77777777" w:rsidR="007967DD" w:rsidRPr="007967DD" w:rsidRDefault="007967DD" w:rsidP="007967DD">
      <w:pPr>
        <w:pStyle w:val="ListParagraph"/>
        <w:spacing w:before="120" w:after="120" w:line="264" w:lineRule="auto"/>
        <w:ind w:left="1440"/>
        <w:rPr>
          <w:rFonts w:ascii="Raleway" w:eastAsia="Raleway" w:hAnsi="Raleway" w:cs="Raleway"/>
          <w:color w:val="000000" w:themeColor="text1"/>
          <w:sz w:val="24"/>
          <w:szCs w:val="24"/>
        </w:rPr>
      </w:pPr>
    </w:p>
    <w:p w14:paraId="1212564C" w14:textId="121CCC73" w:rsidR="00860AFC" w:rsidRPr="0071562E" w:rsidRDefault="33DD4DEF" w:rsidP="00B94BBC">
      <w:pPr>
        <w:pStyle w:val="ListParagraph"/>
        <w:numPr>
          <w:ilvl w:val="0"/>
          <w:numId w:val="1"/>
        </w:numPr>
        <w:spacing w:before="120" w:after="120" w:line="264" w:lineRule="auto"/>
        <w:rPr>
          <w:rFonts w:ascii="Raleway" w:eastAsia="Raleway" w:hAnsi="Raleway" w:cs="Raleway"/>
          <w:b/>
          <w:bCs/>
          <w:color w:val="000000" w:themeColor="text1"/>
          <w:sz w:val="24"/>
          <w:szCs w:val="24"/>
        </w:rPr>
      </w:pPr>
      <w:r w:rsidRPr="0071562E">
        <w:rPr>
          <w:rFonts w:ascii="Raleway" w:eastAsia="Raleway" w:hAnsi="Raleway" w:cs="Raleway"/>
          <w:b/>
          <w:bCs/>
          <w:color w:val="000000" w:themeColor="text1"/>
          <w:sz w:val="24"/>
          <w:szCs w:val="24"/>
        </w:rPr>
        <w:t xml:space="preserve">Hold Leaders Accountable for </w:t>
      </w:r>
      <w:r w:rsidR="1742537B" w:rsidRPr="590C4918">
        <w:rPr>
          <w:rFonts w:ascii="Raleway" w:eastAsia="Raleway" w:hAnsi="Raleway" w:cs="Raleway"/>
          <w:b/>
          <w:bCs/>
          <w:color w:val="000000" w:themeColor="text1"/>
          <w:sz w:val="24"/>
          <w:szCs w:val="24"/>
        </w:rPr>
        <w:t>P</w:t>
      </w:r>
      <w:r w:rsidR="004701D0" w:rsidRPr="590C4918">
        <w:rPr>
          <w:rFonts w:ascii="Raleway" w:eastAsia="Raleway" w:hAnsi="Raleway" w:cs="Raleway"/>
          <w:b/>
          <w:bCs/>
          <w:color w:val="000000" w:themeColor="text1"/>
          <w:sz w:val="24"/>
          <w:szCs w:val="24"/>
        </w:rPr>
        <w:t>rogress</w:t>
      </w:r>
      <w:r w:rsidR="004701D0" w:rsidRPr="0071562E">
        <w:rPr>
          <w:rFonts w:ascii="Raleway" w:eastAsia="Raleway" w:hAnsi="Raleway" w:cs="Raleway"/>
          <w:b/>
          <w:bCs/>
          <w:color w:val="000000" w:themeColor="text1"/>
          <w:sz w:val="24"/>
          <w:szCs w:val="24"/>
        </w:rPr>
        <w:t>.</w:t>
      </w:r>
      <w:r w:rsidRPr="0071562E">
        <w:rPr>
          <w:rFonts w:ascii="Raleway" w:eastAsia="Raleway" w:hAnsi="Raleway" w:cs="Raleway"/>
          <w:b/>
          <w:bCs/>
          <w:color w:val="000000" w:themeColor="text1"/>
          <w:sz w:val="24"/>
          <w:szCs w:val="24"/>
        </w:rPr>
        <w:t xml:space="preserve"> </w:t>
      </w:r>
    </w:p>
    <w:p w14:paraId="220F6CC5" w14:textId="52115E97" w:rsidR="00860AFC" w:rsidRPr="004701D0" w:rsidRDefault="735B6C46" w:rsidP="00B94BBC">
      <w:pPr>
        <w:pStyle w:val="ListParagraph"/>
        <w:numPr>
          <w:ilvl w:val="1"/>
          <w:numId w:val="2"/>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Continue </w:t>
      </w:r>
      <w:r w:rsidR="004701D0">
        <w:rPr>
          <w:rFonts w:ascii="Raleway" w:eastAsia="Raleway" w:hAnsi="Raleway" w:cs="Raleway"/>
          <w:color w:val="000000" w:themeColor="text1"/>
          <w:sz w:val="24"/>
          <w:szCs w:val="24"/>
        </w:rPr>
        <w:t>implementing</w:t>
      </w:r>
      <w:r w:rsidRPr="004701D0">
        <w:rPr>
          <w:rFonts w:ascii="Raleway" w:eastAsia="Raleway" w:hAnsi="Raleway" w:cs="Raleway"/>
          <w:color w:val="000000" w:themeColor="text1"/>
          <w:sz w:val="24"/>
          <w:szCs w:val="24"/>
        </w:rPr>
        <w:t xml:space="preserve"> the shared measurements across the system and hold leaders accountable for progress. </w:t>
      </w:r>
      <w:r w:rsidR="004701D0" w:rsidRPr="004701D0">
        <w:rPr>
          <w:rFonts w:ascii="Raleway" w:eastAsia="Raleway" w:hAnsi="Raleway" w:cs="Raleway"/>
          <w:color w:val="000000" w:themeColor="text1"/>
          <w:sz w:val="24"/>
          <w:szCs w:val="24"/>
        </w:rPr>
        <w:t>There</w:t>
      </w:r>
      <w:r w:rsidRPr="004701D0">
        <w:rPr>
          <w:rFonts w:ascii="Raleway" w:eastAsia="Raleway" w:hAnsi="Raleway" w:cs="Raleway"/>
          <w:color w:val="000000" w:themeColor="text1"/>
          <w:sz w:val="24"/>
          <w:szCs w:val="24"/>
        </w:rPr>
        <w:t xml:space="preserve"> is </w:t>
      </w:r>
      <w:r w:rsidR="004701D0" w:rsidRPr="004701D0">
        <w:rPr>
          <w:rFonts w:ascii="Raleway" w:eastAsia="Raleway" w:hAnsi="Raleway" w:cs="Raleway"/>
          <w:color w:val="000000" w:themeColor="text1"/>
          <w:sz w:val="24"/>
          <w:szCs w:val="24"/>
        </w:rPr>
        <w:t>an opportunity</w:t>
      </w:r>
      <w:r w:rsidRPr="004701D0">
        <w:rPr>
          <w:rFonts w:ascii="Raleway" w:eastAsia="Raleway" w:hAnsi="Raleway" w:cs="Raleway"/>
          <w:color w:val="000000" w:themeColor="text1"/>
          <w:sz w:val="24"/>
          <w:szCs w:val="24"/>
        </w:rPr>
        <w:t xml:space="preserve"> to improve leader accountability for progress. </w:t>
      </w:r>
    </w:p>
    <w:p w14:paraId="00FEF15A" w14:textId="49E5818B" w:rsidR="00860AFC" w:rsidRPr="004701D0" w:rsidRDefault="209EC7D4" w:rsidP="00B94BBC">
      <w:pPr>
        <w:pStyle w:val="ListParagraph"/>
        <w:numPr>
          <w:ilvl w:val="0"/>
          <w:numId w:val="2"/>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Incorporat</w:t>
      </w:r>
      <w:r w:rsidR="004701D0" w:rsidRPr="004701D0">
        <w:rPr>
          <w:rFonts w:ascii="Raleway" w:eastAsia="Raleway" w:hAnsi="Raleway" w:cs="Raleway"/>
          <w:b/>
          <w:bCs/>
          <w:strike/>
          <w:color w:val="000000" w:themeColor="text1"/>
          <w:sz w:val="24"/>
          <w:szCs w:val="24"/>
        </w:rPr>
        <w:t>e</w:t>
      </w:r>
      <w:r w:rsidRPr="004701D0">
        <w:rPr>
          <w:rFonts w:ascii="Raleway" w:eastAsia="Raleway" w:hAnsi="Raleway" w:cs="Raleway"/>
          <w:b/>
          <w:bCs/>
          <w:color w:val="000000" w:themeColor="text1"/>
          <w:sz w:val="24"/>
          <w:szCs w:val="24"/>
        </w:rPr>
        <w:t xml:space="preserve"> Diverse Voices</w:t>
      </w:r>
    </w:p>
    <w:p w14:paraId="4774FBE6" w14:textId="15FDE756" w:rsidR="00860AFC" w:rsidRPr="004701D0" w:rsidRDefault="209EC7D4" w:rsidP="00B94BBC">
      <w:pPr>
        <w:pStyle w:val="ListParagraph"/>
        <w:numPr>
          <w:ilvl w:val="1"/>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Community and Patient Engagement:</w:t>
      </w:r>
      <w:r w:rsidRPr="004701D0">
        <w:rPr>
          <w:rFonts w:ascii="Raleway" w:eastAsia="Raleway" w:hAnsi="Raleway" w:cs="Raleway"/>
          <w:color w:val="000000" w:themeColor="text1"/>
          <w:sz w:val="24"/>
          <w:szCs w:val="24"/>
        </w:rPr>
        <w:t xml:space="preserve"> Actively involve patients and community members, particularly from marginalized groups</w:t>
      </w:r>
      <w:r w:rsidR="00615B04">
        <w:rPr>
          <w:rFonts w:ascii="Raleway" w:eastAsia="Raleway" w:hAnsi="Raleway" w:cs="Raleway"/>
          <w:color w:val="000000" w:themeColor="text1"/>
          <w:sz w:val="24"/>
          <w:szCs w:val="24"/>
        </w:rPr>
        <w:t>,</w:t>
      </w:r>
      <w:r w:rsidRPr="004701D0">
        <w:rPr>
          <w:rFonts w:ascii="Raleway" w:eastAsia="Raleway" w:hAnsi="Raleway" w:cs="Raleway"/>
          <w:color w:val="000000" w:themeColor="text1"/>
          <w:sz w:val="24"/>
          <w:szCs w:val="24"/>
        </w:rPr>
        <w:t xml:space="preserve"> in planning and implementation to ensure initiatives genuinely resonate with and meet the needs of those most affected by healthcare disparities.</w:t>
      </w:r>
    </w:p>
    <w:p w14:paraId="1B1E4F80" w14:textId="139F244B" w:rsidR="00860AFC" w:rsidRPr="004701D0" w:rsidRDefault="209EC7D4" w:rsidP="00B94BBC">
      <w:pPr>
        <w:pStyle w:val="ListParagraph"/>
        <w:numPr>
          <w:ilvl w:val="0"/>
          <w:numId w:val="2"/>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Streamlin</w:t>
      </w:r>
      <w:r w:rsidR="004701D0" w:rsidRPr="004701D0">
        <w:rPr>
          <w:rFonts w:ascii="Raleway" w:eastAsia="Raleway" w:hAnsi="Raleway" w:cs="Raleway"/>
          <w:b/>
          <w:bCs/>
          <w:color w:val="000000" w:themeColor="text1"/>
          <w:sz w:val="24"/>
          <w:szCs w:val="24"/>
        </w:rPr>
        <w:t xml:space="preserve">e </w:t>
      </w:r>
      <w:r w:rsidRPr="004701D0">
        <w:rPr>
          <w:rFonts w:ascii="Raleway" w:eastAsia="Raleway" w:hAnsi="Raleway" w:cs="Raleway"/>
          <w:b/>
          <w:bCs/>
          <w:color w:val="000000" w:themeColor="text1"/>
          <w:sz w:val="24"/>
          <w:szCs w:val="24"/>
        </w:rPr>
        <w:t>Organizational Efforts</w:t>
      </w:r>
    </w:p>
    <w:p w14:paraId="7E147977" w14:textId="4398A943" w:rsidR="00860AFC" w:rsidRPr="004701D0" w:rsidRDefault="209EC7D4" w:rsidP="00B94BBC">
      <w:pPr>
        <w:pStyle w:val="ListParagraph"/>
        <w:numPr>
          <w:ilvl w:val="1"/>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Optimiz</w:t>
      </w:r>
      <w:r w:rsidR="49162FF4" w:rsidRPr="004701D0">
        <w:rPr>
          <w:rFonts w:ascii="Raleway" w:eastAsia="Raleway" w:hAnsi="Raleway" w:cs="Raleway"/>
          <w:b/>
          <w:bCs/>
          <w:color w:val="000000" w:themeColor="text1"/>
          <w:sz w:val="24"/>
          <w:szCs w:val="24"/>
        </w:rPr>
        <w:t>e</w:t>
      </w:r>
      <w:r w:rsidRPr="004701D0">
        <w:rPr>
          <w:rFonts w:ascii="Raleway" w:eastAsia="Raleway" w:hAnsi="Raleway" w:cs="Raleway"/>
          <w:b/>
          <w:bCs/>
          <w:color w:val="000000" w:themeColor="text1"/>
          <w:sz w:val="24"/>
          <w:szCs w:val="24"/>
        </w:rPr>
        <w:t xml:space="preserve"> Efficiency and Impact:</w:t>
      </w:r>
      <w:r w:rsidRPr="004701D0">
        <w:rPr>
          <w:rFonts w:ascii="Raleway" w:eastAsia="Raleway" w:hAnsi="Raleway" w:cs="Raleway"/>
          <w:color w:val="000000" w:themeColor="text1"/>
          <w:sz w:val="24"/>
          <w:szCs w:val="24"/>
        </w:rPr>
        <w:t xml:space="preserve"> Review the Roadmap for overlapping strategies or redundancies. Streamline efforts to optimize </w:t>
      </w:r>
      <w:r w:rsidRPr="590C4918">
        <w:rPr>
          <w:rFonts w:ascii="Raleway" w:eastAsia="Raleway" w:hAnsi="Raleway" w:cs="Raleway"/>
          <w:color w:val="000000" w:themeColor="text1"/>
          <w:sz w:val="24"/>
          <w:szCs w:val="24"/>
        </w:rPr>
        <w:t>resource</w:t>
      </w:r>
      <w:r w:rsidR="52BF983D" w:rsidRPr="590C4918">
        <w:rPr>
          <w:rFonts w:ascii="Raleway" w:eastAsia="Raleway" w:hAnsi="Raleway" w:cs="Raleway"/>
          <w:color w:val="000000" w:themeColor="text1"/>
          <w:sz w:val="24"/>
          <w:szCs w:val="24"/>
        </w:rPr>
        <w:t>s</w:t>
      </w:r>
      <w:r w:rsidRPr="004701D0">
        <w:rPr>
          <w:rFonts w:ascii="Raleway" w:eastAsia="Raleway" w:hAnsi="Raleway" w:cs="Raleway"/>
          <w:color w:val="000000" w:themeColor="text1"/>
          <w:sz w:val="24"/>
          <w:szCs w:val="24"/>
        </w:rPr>
        <w:t xml:space="preserve"> and amplify the initiative's effectiveness and reach. We are </w:t>
      </w:r>
      <w:r w:rsidR="004701D0">
        <w:rPr>
          <w:rFonts w:ascii="Raleway" w:eastAsia="Raleway" w:hAnsi="Raleway" w:cs="Raleway"/>
          <w:color w:val="000000" w:themeColor="text1"/>
          <w:sz w:val="24"/>
          <w:szCs w:val="24"/>
        </w:rPr>
        <w:t>unsure</w:t>
      </w:r>
      <w:r w:rsidRPr="004701D0">
        <w:rPr>
          <w:rFonts w:ascii="Raleway" w:eastAsia="Raleway" w:hAnsi="Raleway" w:cs="Raleway"/>
          <w:color w:val="000000" w:themeColor="text1"/>
          <w:sz w:val="24"/>
          <w:szCs w:val="24"/>
        </w:rPr>
        <w:t xml:space="preserve"> that the collective impact model is the best approach as you move to the next phase of the work. It may </w:t>
      </w:r>
      <w:r w:rsidR="00D7634D" w:rsidRPr="004701D0">
        <w:rPr>
          <w:rFonts w:ascii="Raleway" w:eastAsia="Raleway" w:hAnsi="Raleway" w:cs="Raleway"/>
          <w:color w:val="000000" w:themeColor="text1"/>
          <w:sz w:val="24"/>
          <w:szCs w:val="24"/>
        </w:rPr>
        <w:t>also be</w:t>
      </w:r>
      <w:r w:rsidRPr="004701D0">
        <w:rPr>
          <w:rFonts w:ascii="Raleway" w:eastAsia="Raleway" w:hAnsi="Raleway" w:cs="Raleway"/>
          <w:color w:val="000000" w:themeColor="text1"/>
          <w:sz w:val="24"/>
          <w:szCs w:val="24"/>
        </w:rPr>
        <w:t xml:space="preserve"> time to reassess the role of the strategy leads.</w:t>
      </w:r>
      <w:r w:rsidR="736D25A4" w:rsidRPr="590C4918">
        <w:rPr>
          <w:rFonts w:ascii="Raleway" w:eastAsia="Raleway" w:hAnsi="Raleway" w:cs="Raleway"/>
          <w:color w:val="000000" w:themeColor="text1"/>
          <w:sz w:val="24"/>
          <w:szCs w:val="24"/>
        </w:rPr>
        <w:t xml:space="preserve"> We recommend leveraging existing groups and teams</w:t>
      </w:r>
      <w:r w:rsidR="00615B04">
        <w:rPr>
          <w:rFonts w:ascii="Raleway" w:eastAsia="Raleway" w:hAnsi="Raleway" w:cs="Raleway"/>
          <w:color w:val="000000" w:themeColor="text1"/>
          <w:sz w:val="24"/>
          <w:szCs w:val="24"/>
        </w:rPr>
        <w:t>, such as employee resource groups, diversity councils, and committees,</w:t>
      </w:r>
      <w:r w:rsidR="736D25A4" w:rsidRPr="590C4918">
        <w:rPr>
          <w:rFonts w:ascii="Raleway" w:eastAsia="Raleway" w:hAnsi="Raleway" w:cs="Raleway"/>
          <w:color w:val="000000" w:themeColor="text1"/>
          <w:sz w:val="24"/>
          <w:szCs w:val="24"/>
        </w:rPr>
        <w:t xml:space="preserve"> to</w:t>
      </w:r>
      <w:r w:rsidR="7040F6FF" w:rsidRPr="590C4918">
        <w:rPr>
          <w:rFonts w:ascii="Raleway" w:eastAsia="Raleway" w:hAnsi="Raleway" w:cs="Raleway"/>
          <w:color w:val="000000" w:themeColor="text1"/>
          <w:sz w:val="24"/>
          <w:szCs w:val="24"/>
        </w:rPr>
        <w:t xml:space="preserve"> implement the strategies at the local level. The governance model </w:t>
      </w:r>
      <w:r w:rsidR="00427469">
        <w:rPr>
          <w:rFonts w:ascii="Raleway" w:eastAsia="Raleway" w:hAnsi="Raleway" w:cs="Raleway"/>
          <w:color w:val="000000" w:themeColor="text1"/>
          <w:sz w:val="24"/>
          <w:szCs w:val="24"/>
        </w:rPr>
        <w:t>we developed guides</w:t>
      </w:r>
      <w:r w:rsidR="7EE7F1F7" w:rsidRPr="590C4918">
        <w:rPr>
          <w:rFonts w:ascii="Raleway" w:eastAsia="Raleway" w:hAnsi="Raleway" w:cs="Raleway"/>
          <w:color w:val="000000" w:themeColor="text1"/>
          <w:sz w:val="24"/>
          <w:szCs w:val="24"/>
        </w:rPr>
        <w:t xml:space="preserve"> how to spread the work deeper into the system</w:t>
      </w:r>
      <w:r w:rsidR="00D7634D" w:rsidRPr="590C4918">
        <w:rPr>
          <w:rFonts w:ascii="Raleway" w:eastAsia="Raleway" w:hAnsi="Raleway" w:cs="Raleway"/>
          <w:color w:val="000000" w:themeColor="text1"/>
          <w:sz w:val="24"/>
          <w:szCs w:val="24"/>
        </w:rPr>
        <w:t xml:space="preserve">. </w:t>
      </w:r>
    </w:p>
    <w:p w14:paraId="6B88E919" w14:textId="0BC5231C" w:rsidR="00860AFC" w:rsidRPr="004701D0" w:rsidRDefault="209EC7D4" w:rsidP="00B94BBC">
      <w:pPr>
        <w:pStyle w:val="ListParagraph"/>
        <w:numPr>
          <w:ilvl w:val="0"/>
          <w:numId w:val="2"/>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Commitment to Research and Responsiveness</w:t>
      </w:r>
    </w:p>
    <w:p w14:paraId="5CF0D5BA" w14:textId="6048C004" w:rsidR="00860AFC" w:rsidRPr="004701D0" w:rsidRDefault="209EC7D4" w:rsidP="00B94BBC">
      <w:pPr>
        <w:pStyle w:val="ListParagraph"/>
        <w:numPr>
          <w:ilvl w:val="1"/>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Dedication to Research:</w:t>
      </w:r>
      <w:r w:rsidRPr="004701D0">
        <w:rPr>
          <w:rFonts w:ascii="Raleway" w:eastAsia="Raleway" w:hAnsi="Raleway" w:cs="Raleway"/>
          <w:color w:val="000000" w:themeColor="text1"/>
          <w:sz w:val="24"/>
          <w:szCs w:val="24"/>
        </w:rPr>
        <w:t xml:space="preserve"> Uphold a robust focus on research and longitudinal monitoring to shape and adapt strategies as needed, underscoring the value of data-driven decision-making.</w:t>
      </w:r>
    </w:p>
    <w:p w14:paraId="556B8E50" w14:textId="6E131FFE" w:rsidR="00860AFC" w:rsidRPr="004701D0" w:rsidRDefault="209EC7D4" w:rsidP="00B94BBC">
      <w:pPr>
        <w:pStyle w:val="ListParagraph"/>
        <w:numPr>
          <w:ilvl w:val="1"/>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Adaptive and Proactive Strategy</w:t>
      </w:r>
      <w:r w:rsidRPr="004701D0">
        <w:rPr>
          <w:rFonts w:ascii="Raleway" w:eastAsia="Raleway" w:hAnsi="Raleway" w:cs="Raleway"/>
          <w:color w:val="000000" w:themeColor="text1"/>
          <w:sz w:val="24"/>
          <w:szCs w:val="24"/>
        </w:rPr>
        <w:t>: Remain agile and responsive to healthcare landscape changes, ensuring Mount Sinai Health System's ongoing ability to innovate and excel in a dynamic environment.</w:t>
      </w:r>
    </w:p>
    <w:p w14:paraId="4F2A7B88" w14:textId="28620A28" w:rsidR="00860AFC" w:rsidRPr="004701D0" w:rsidRDefault="48DE4752" w:rsidP="00B94BBC">
      <w:pPr>
        <w:pStyle w:val="ListParagraph"/>
        <w:numPr>
          <w:ilvl w:val="0"/>
          <w:numId w:val="1"/>
        </w:numPr>
        <w:spacing w:before="120" w:after="120" w:line="264" w:lineRule="auto"/>
        <w:rPr>
          <w:rFonts w:ascii="Raleway" w:eastAsia="Raleway" w:hAnsi="Raleway" w:cs="Raleway"/>
          <w:b/>
          <w:bCs/>
          <w:color w:val="000000" w:themeColor="text1"/>
          <w:sz w:val="24"/>
          <w:szCs w:val="24"/>
        </w:rPr>
      </w:pPr>
      <w:r w:rsidRPr="004701D0">
        <w:rPr>
          <w:rFonts w:ascii="Raleway" w:eastAsia="Raleway" w:hAnsi="Raleway" w:cs="Raleway"/>
          <w:b/>
          <w:bCs/>
          <w:color w:val="000000" w:themeColor="text1"/>
          <w:sz w:val="24"/>
          <w:szCs w:val="24"/>
        </w:rPr>
        <w:t>Enhance Educational Initiatives</w:t>
      </w:r>
    </w:p>
    <w:p w14:paraId="20D482E9" w14:textId="66AE3768" w:rsidR="00860AFC" w:rsidRPr="004701D0" w:rsidRDefault="48DE4752" w:rsidP="00B94BBC">
      <w:pPr>
        <w:pStyle w:val="ListParagraph"/>
        <w:numPr>
          <w:ilvl w:val="1"/>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Develop Comprehensive Learning Programs:</w:t>
      </w:r>
      <w:r w:rsidRPr="004701D0">
        <w:rPr>
          <w:rFonts w:ascii="Raleway" w:eastAsia="Raleway" w:hAnsi="Raleway" w:cs="Raleway"/>
          <w:color w:val="000000" w:themeColor="text1"/>
          <w:sz w:val="24"/>
          <w:szCs w:val="24"/>
        </w:rPr>
        <w:t xml:space="preserve"> Develop and refine educational programs</w:t>
      </w:r>
      <w:r w:rsidR="004701D0">
        <w:rPr>
          <w:rFonts w:ascii="Raleway" w:eastAsia="Raleway" w:hAnsi="Raleway" w:cs="Raleway"/>
          <w:color w:val="000000" w:themeColor="text1"/>
          <w:sz w:val="24"/>
          <w:szCs w:val="24"/>
        </w:rPr>
        <w:t xml:space="preserve">, making them more consistent across the enterprise, tailored to the evolving needs of MSHS staff, focusing on antiracism and </w:t>
      </w:r>
      <w:r w:rsidRPr="004701D0">
        <w:rPr>
          <w:rFonts w:ascii="Raleway" w:eastAsia="Raleway" w:hAnsi="Raleway" w:cs="Raleway"/>
          <w:color w:val="000000" w:themeColor="text1"/>
          <w:sz w:val="24"/>
          <w:szCs w:val="24"/>
        </w:rPr>
        <w:t>cultural competence</w:t>
      </w:r>
      <w:r w:rsidR="0B6B8CB5" w:rsidRPr="590C4918">
        <w:rPr>
          <w:rFonts w:ascii="Raleway" w:eastAsia="Raleway" w:hAnsi="Raleway" w:cs="Raleway"/>
          <w:color w:val="000000" w:themeColor="text1"/>
          <w:sz w:val="24"/>
          <w:szCs w:val="24"/>
        </w:rPr>
        <w:t xml:space="preserve">, </w:t>
      </w:r>
      <w:r w:rsidR="00D7634D" w:rsidRPr="590C4918">
        <w:rPr>
          <w:rFonts w:ascii="Raleway" w:eastAsia="Raleway" w:hAnsi="Raleway" w:cs="Raleway"/>
          <w:color w:val="000000" w:themeColor="text1"/>
          <w:sz w:val="24"/>
          <w:szCs w:val="24"/>
        </w:rPr>
        <w:t>intersectionality,</w:t>
      </w:r>
      <w:r w:rsidRPr="004701D0">
        <w:rPr>
          <w:rFonts w:ascii="Raleway" w:eastAsia="Raleway" w:hAnsi="Raleway" w:cs="Raleway"/>
          <w:color w:val="000000" w:themeColor="text1"/>
          <w:sz w:val="24"/>
          <w:szCs w:val="24"/>
        </w:rPr>
        <w:t xml:space="preserve"> and healthcare equity.</w:t>
      </w:r>
    </w:p>
    <w:p w14:paraId="0C567CB0" w14:textId="3FE6A739" w:rsidR="00860AFC" w:rsidRPr="004701D0" w:rsidRDefault="61A0F4E2" w:rsidP="00B94BBC">
      <w:pPr>
        <w:pStyle w:val="ListParagraph"/>
        <w:numPr>
          <w:ilvl w:val="1"/>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Targeted Training for Operational Staff:</w:t>
      </w:r>
      <w:r w:rsidRPr="004701D0">
        <w:rPr>
          <w:rFonts w:ascii="Raleway" w:eastAsia="Raleway" w:hAnsi="Raleway" w:cs="Raleway"/>
          <w:color w:val="000000" w:themeColor="text1"/>
          <w:sz w:val="24"/>
          <w:szCs w:val="24"/>
        </w:rPr>
        <w:t xml:space="preserve"> Offer specialized training and development programs for staff involved in operational aspects of the Roadmap, ensuring they are well-equipped to contribute effectively.</w:t>
      </w:r>
    </w:p>
    <w:p w14:paraId="563BA7BB" w14:textId="025FAA1B" w:rsidR="00860AFC" w:rsidRPr="0071562E" w:rsidRDefault="61A0F4E2" w:rsidP="00B94BBC">
      <w:pPr>
        <w:pStyle w:val="ListParagraph"/>
        <w:numPr>
          <w:ilvl w:val="0"/>
          <w:numId w:val="1"/>
        </w:num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Implement Robust Communication Strategies:</w:t>
      </w:r>
      <w:r w:rsidRPr="004701D0">
        <w:rPr>
          <w:rFonts w:ascii="Raleway" w:eastAsia="Raleway" w:hAnsi="Raleway" w:cs="Raleway"/>
          <w:color w:val="000000" w:themeColor="text1"/>
          <w:sz w:val="24"/>
          <w:szCs w:val="24"/>
        </w:rPr>
        <w:t xml:space="preserve"> Implement comprehensive internal communication strategies to share progress, maintain transparency</w:t>
      </w:r>
      <w:r w:rsidR="004701D0">
        <w:rPr>
          <w:rFonts w:ascii="Raleway" w:eastAsia="Raleway" w:hAnsi="Raleway" w:cs="Raleway"/>
          <w:color w:val="000000" w:themeColor="text1"/>
          <w:sz w:val="24"/>
          <w:szCs w:val="24"/>
        </w:rPr>
        <w:t>,</w:t>
      </w:r>
      <w:r w:rsidRPr="004701D0">
        <w:rPr>
          <w:rFonts w:ascii="Raleway" w:eastAsia="Raleway" w:hAnsi="Raleway" w:cs="Raleway"/>
          <w:color w:val="000000" w:themeColor="text1"/>
          <w:sz w:val="24"/>
          <w:szCs w:val="24"/>
        </w:rPr>
        <w:t xml:space="preserve"> and build trust among stakeholders about the Roadmap's progress and changes.</w:t>
      </w:r>
    </w:p>
    <w:p w14:paraId="21B2E4AC" w14:textId="003F1B08" w:rsidR="00860AFC" w:rsidRPr="004701D0" w:rsidRDefault="00860AFC" w:rsidP="0071562E">
      <w:pPr>
        <w:pStyle w:val="ListParagraph"/>
        <w:spacing w:before="120" w:after="120" w:line="264" w:lineRule="auto"/>
        <w:ind w:left="1440"/>
        <w:rPr>
          <w:rFonts w:ascii="Raleway" w:eastAsia="Raleway" w:hAnsi="Raleway" w:cs="Raleway"/>
          <w:color w:val="000000" w:themeColor="text1"/>
          <w:sz w:val="24"/>
          <w:szCs w:val="24"/>
        </w:rPr>
      </w:pPr>
    </w:p>
    <w:p w14:paraId="26F42C31" w14:textId="20A9C950" w:rsidR="00860AFC" w:rsidRPr="004701D0" w:rsidRDefault="209EC7D4" w:rsidP="004701D0">
      <w:p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b/>
          <w:bCs/>
          <w:color w:val="000000" w:themeColor="text1"/>
          <w:sz w:val="24"/>
          <w:szCs w:val="24"/>
        </w:rPr>
        <w:t>Conclusion</w:t>
      </w:r>
    </w:p>
    <w:p w14:paraId="018D0E60" w14:textId="05BFD18D" w:rsidR="00860AFC" w:rsidRPr="004701D0" w:rsidRDefault="209EC7D4" w:rsidP="004701D0">
      <w:p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As we conclude this progress report, The Winters Group, Inc. wishes to express our profound gratitude for the opportunity to collaborate with Mount Sinai Health Systems (MSHS). This partnership has been a journey of implementing meaningful change but also a testament to the commitment and dedication of both our organizations toward fostering a more equitable and inclusive healthcare environment. </w:t>
      </w:r>
    </w:p>
    <w:p w14:paraId="4EF9DB8A" w14:textId="5919E418" w:rsidR="00860AFC" w:rsidRPr="004701D0" w:rsidRDefault="209EC7D4" w:rsidP="004701D0">
      <w:p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Our recommendations, as outlined in this report, are strategically poised to reinforce the sustainability of MSHS. They are crafted with the understanding that the success of the Antiracism Road Map is intrinsically linked to tangible outcomes such as superior service delivery, patient satisfaction, staff engagement, and robust financial support from public entities. We </w:t>
      </w:r>
      <w:r w:rsidR="004701D0" w:rsidRPr="004701D0">
        <w:rPr>
          <w:rFonts w:ascii="Raleway" w:eastAsia="Raleway" w:hAnsi="Raleway" w:cs="Raleway"/>
          <w:color w:val="000000" w:themeColor="text1"/>
          <w:sz w:val="24"/>
          <w:szCs w:val="24"/>
        </w:rPr>
        <w:t>believe</w:t>
      </w:r>
      <w:r w:rsidRPr="004701D0">
        <w:rPr>
          <w:rFonts w:ascii="Raleway" w:eastAsia="Raleway" w:hAnsi="Raleway" w:cs="Raleway"/>
          <w:color w:val="000000" w:themeColor="text1"/>
          <w:sz w:val="24"/>
          <w:szCs w:val="24"/>
        </w:rPr>
        <w:t xml:space="preserve"> these recommendations will catalyze MSHS's continued growth and strengthen its position as a pioneering institution in healthcare. </w:t>
      </w:r>
    </w:p>
    <w:p w14:paraId="5097D917" w14:textId="459F868C" w:rsidR="00860AFC" w:rsidRPr="004701D0" w:rsidRDefault="209EC7D4" w:rsidP="004701D0">
      <w:p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Furthermore, we emphasize integrating learning, wellness, and resilience into the framework of the Road Map. This approach is essential not just for the personal growth and well-being of the staff but also for the systemic resilience of MSHS. By embedding these elements into the Road Map's work, the organization sets a foundation for an adaptive, knowledgeable, and resilient culture in the face of challenges. </w:t>
      </w:r>
    </w:p>
    <w:p w14:paraId="2C078E63" w14:textId="5857C390" w:rsidR="00860AFC" w:rsidRPr="004701D0" w:rsidRDefault="209EC7D4" w:rsidP="004701D0">
      <w:pPr>
        <w:spacing w:before="120" w:after="120" w:line="264" w:lineRule="auto"/>
        <w:rPr>
          <w:rFonts w:ascii="Raleway" w:eastAsia="Raleway" w:hAnsi="Raleway" w:cs="Raleway"/>
          <w:color w:val="000000" w:themeColor="text1"/>
          <w:sz w:val="24"/>
          <w:szCs w:val="24"/>
        </w:rPr>
      </w:pPr>
      <w:r w:rsidRPr="004701D0">
        <w:rPr>
          <w:rFonts w:ascii="Raleway" w:eastAsia="Raleway" w:hAnsi="Raleway" w:cs="Raleway"/>
          <w:color w:val="000000" w:themeColor="text1"/>
          <w:sz w:val="24"/>
          <w:szCs w:val="24"/>
        </w:rPr>
        <w:t xml:space="preserve">In moving forward, The Winters Group, Inc. remains committed to supporting MSHS in its transformative journey. We are confident our steps will pave the way for equity, justice, and improved healthcare accessibility. We look forward to continuing this work in some way with the Mount Sinai Health System, driven by our shared vision and unwavering dedication to making a difference in the lives of those we serve. </w:t>
      </w:r>
    </w:p>
    <w:sectPr w:rsidR="00860AFC" w:rsidRPr="004701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DF09" w14:textId="77777777" w:rsidR="00CE5E26" w:rsidRDefault="00CE5E26" w:rsidP="0093087A">
      <w:pPr>
        <w:spacing w:after="0" w:line="240" w:lineRule="auto"/>
      </w:pPr>
      <w:r>
        <w:separator/>
      </w:r>
    </w:p>
  </w:endnote>
  <w:endnote w:type="continuationSeparator" w:id="0">
    <w:p w14:paraId="24A765AB" w14:textId="77777777" w:rsidR="00CE5E26" w:rsidRDefault="00CE5E26" w:rsidP="0093087A">
      <w:pPr>
        <w:spacing w:after="0" w:line="240" w:lineRule="auto"/>
      </w:pPr>
      <w:r>
        <w:continuationSeparator/>
      </w:r>
    </w:p>
  </w:endnote>
  <w:endnote w:type="continuationNotice" w:id="1">
    <w:p w14:paraId="64A861FB" w14:textId="77777777" w:rsidR="00CE5E26" w:rsidRDefault="00CE5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0017" w14:textId="77777777" w:rsidR="00D7634D" w:rsidRDefault="00D76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0B4E" w14:textId="77777777" w:rsidR="00B814D0" w:rsidRDefault="00B814D0"/>
  <w:tbl>
    <w:tblPr>
      <w:tblW w:w="9810" w:type="dxa"/>
      <w:tblLayout w:type="fixed"/>
      <w:tblLook w:val="06A0" w:firstRow="1" w:lastRow="0" w:firstColumn="1" w:lastColumn="0" w:noHBand="1" w:noVBand="1"/>
    </w:tblPr>
    <w:tblGrid>
      <w:gridCol w:w="9810"/>
    </w:tblGrid>
    <w:tr w:rsidR="003076D6" w:rsidRPr="00B77BE5" w14:paraId="1B2BE526" w14:textId="77777777" w:rsidTr="00786520">
      <w:trPr>
        <w:trHeight w:val="300"/>
      </w:trPr>
      <w:tc>
        <w:tcPr>
          <w:tcW w:w="9810" w:type="dxa"/>
        </w:tcPr>
        <w:p w14:paraId="196E9E38" w14:textId="77777777" w:rsidR="003076D6" w:rsidRPr="00B77BE5" w:rsidRDefault="003076D6">
          <w:pPr>
            <w:pStyle w:val="Header"/>
            <w:ind w:left="-115"/>
            <w:rPr>
              <w:rFonts w:ascii="Raleway" w:hAnsi="Raleway"/>
              <w:b/>
              <w:bCs/>
              <w:sz w:val="20"/>
              <w:szCs w:val="20"/>
            </w:rPr>
          </w:pPr>
          <w:r w:rsidRPr="00B77BE5">
            <w:rPr>
              <w:rFonts w:ascii="Raleway" w:hAnsi="Raleway"/>
              <w:b/>
              <w:bCs/>
              <w:sz w:val="20"/>
              <w:szCs w:val="20"/>
            </w:rPr>
            <w:t>The Winters Group, Inc. © Copyright Protected. All rights reserved. Restricted use without permission</w:t>
          </w:r>
        </w:p>
        <w:p w14:paraId="43B8798C" w14:textId="77777777" w:rsidR="003076D6" w:rsidRPr="00B77BE5" w:rsidRDefault="003076D6">
          <w:pPr>
            <w:pStyle w:val="Header"/>
            <w:ind w:left="-115"/>
            <w:rPr>
              <w:rFonts w:ascii="Raleway" w:hAnsi="Raleway"/>
              <w:b/>
              <w:bCs/>
              <w:sz w:val="20"/>
              <w:szCs w:val="20"/>
            </w:rPr>
          </w:pPr>
        </w:p>
      </w:tc>
    </w:tr>
  </w:tbl>
  <w:p w14:paraId="6D31FE88" w14:textId="3EF1D23E" w:rsidR="0093087A" w:rsidRDefault="00930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FD18" w14:textId="77777777" w:rsidR="00D7634D" w:rsidRDefault="00D76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69F6" w14:textId="77777777" w:rsidR="00CE5E26" w:rsidRDefault="00CE5E26" w:rsidP="0093087A">
      <w:pPr>
        <w:spacing w:after="0" w:line="240" w:lineRule="auto"/>
      </w:pPr>
      <w:r>
        <w:separator/>
      </w:r>
    </w:p>
  </w:footnote>
  <w:footnote w:type="continuationSeparator" w:id="0">
    <w:p w14:paraId="5B1C3DDF" w14:textId="77777777" w:rsidR="00CE5E26" w:rsidRDefault="00CE5E26" w:rsidP="0093087A">
      <w:pPr>
        <w:spacing w:after="0" w:line="240" w:lineRule="auto"/>
      </w:pPr>
      <w:r>
        <w:continuationSeparator/>
      </w:r>
    </w:p>
  </w:footnote>
  <w:footnote w:type="continuationNotice" w:id="1">
    <w:p w14:paraId="3E2F3708" w14:textId="77777777" w:rsidR="00CE5E26" w:rsidRDefault="00CE5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4950" w14:textId="77777777" w:rsidR="00D7634D" w:rsidRDefault="00D76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26DB" w14:textId="190DD3B5" w:rsidR="00127E72" w:rsidRDefault="00127E72" w:rsidP="00A0628E">
    <w:pPr>
      <w:spacing w:before="120" w:after="0" w:line="240" w:lineRule="auto"/>
      <w:jc w:val="center"/>
      <w:rPr>
        <w:rFonts w:ascii="Raleway" w:eastAsia="Raleway" w:hAnsi="Raleway" w:cs="Raleway"/>
        <w:b/>
        <w:bCs/>
        <w:color w:val="000000" w:themeColor="text1"/>
        <w:sz w:val="24"/>
        <w:szCs w:val="24"/>
      </w:rPr>
    </w:pPr>
    <w:r>
      <w:rPr>
        <w:rFonts w:ascii="Raleway" w:eastAsia="Raleway" w:hAnsi="Raleway" w:cs="Raleway"/>
        <w:b/>
        <w:bCs/>
        <w:color w:val="000000" w:themeColor="text1"/>
        <w:sz w:val="24"/>
        <w:szCs w:val="24"/>
      </w:rPr>
      <w:t>Mount Sinai Health System (</w:t>
    </w:r>
    <w:r w:rsidRPr="590C4918">
      <w:rPr>
        <w:rFonts w:ascii="Raleway" w:eastAsia="Raleway" w:hAnsi="Raleway" w:cs="Raleway"/>
        <w:b/>
        <w:bCs/>
        <w:color w:val="000000" w:themeColor="text1"/>
        <w:sz w:val="24"/>
        <w:szCs w:val="24"/>
      </w:rPr>
      <w:t>MSHS</w:t>
    </w:r>
    <w:r>
      <w:rPr>
        <w:rFonts w:ascii="Raleway" w:eastAsia="Raleway" w:hAnsi="Raleway" w:cs="Raleway"/>
        <w:b/>
        <w:bCs/>
        <w:color w:val="000000" w:themeColor="text1"/>
        <w:sz w:val="24"/>
        <w:szCs w:val="24"/>
      </w:rPr>
      <w:t>)</w:t>
    </w:r>
    <w:r w:rsidRPr="590C4918">
      <w:rPr>
        <w:rFonts w:ascii="Raleway" w:eastAsia="Raleway" w:hAnsi="Raleway" w:cs="Raleway"/>
        <w:b/>
        <w:bCs/>
        <w:color w:val="000000" w:themeColor="text1"/>
        <w:sz w:val="24"/>
        <w:szCs w:val="24"/>
      </w:rPr>
      <w:t xml:space="preserve"> and The Winters Group Partnership</w:t>
    </w:r>
  </w:p>
  <w:p w14:paraId="4CF1731A" w14:textId="77777777" w:rsidR="00127E72" w:rsidRDefault="00127E72" w:rsidP="00A0628E">
    <w:pPr>
      <w:spacing w:before="120" w:after="0" w:line="240" w:lineRule="auto"/>
      <w:jc w:val="center"/>
      <w:rPr>
        <w:rFonts w:ascii="Raleway" w:eastAsia="Raleway" w:hAnsi="Raleway" w:cs="Raleway"/>
        <w:b/>
        <w:bCs/>
        <w:color w:val="000000" w:themeColor="text1"/>
        <w:sz w:val="24"/>
        <w:szCs w:val="24"/>
      </w:rPr>
    </w:pPr>
    <w:r w:rsidRPr="590C4918">
      <w:rPr>
        <w:rFonts w:ascii="Raleway" w:eastAsia="Raleway" w:hAnsi="Raleway" w:cs="Raleway"/>
        <w:b/>
        <w:bCs/>
        <w:color w:val="000000" w:themeColor="text1"/>
        <w:sz w:val="24"/>
        <w:szCs w:val="24"/>
      </w:rPr>
      <w:t>Summary and Path Forward Recommendations</w:t>
    </w:r>
  </w:p>
  <w:p w14:paraId="5FB2A856" w14:textId="6822BA5C" w:rsidR="590C4918" w:rsidRDefault="00CB6BD4" w:rsidP="00A0628E">
    <w:pPr>
      <w:spacing w:before="120" w:after="0" w:line="240" w:lineRule="auto"/>
      <w:jc w:val="center"/>
      <w:rPr>
        <w:rFonts w:ascii="Raleway" w:eastAsia="Raleway" w:hAnsi="Raleway" w:cs="Raleway"/>
        <w:b/>
        <w:bCs/>
        <w:color w:val="000000" w:themeColor="text1"/>
        <w:sz w:val="24"/>
        <w:szCs w:val="24"/>
      </w:rPr>
    </w:pPr>
    <w:r w:rsidRPr="590C4918">
      <w:rPr>
        <w:rFonts w:ascii="Raleway" w:eastAsia="Raleway" w:hAnsi="Raleway" w:cs="Raleway"/>
        <w:b/>
        <w:bCs/>
        <w:color w:val="000000" w:themeColor="text1"/>
        <w:sz w:val="24"/>
        <w:szCs w:val="24"/>
      </w:rPr>
      <w:t>December 1</w:t>
    </w:r>
    <w:r w:rsidR="00D7634D">
      <w:rPr>
        <w:rFonts w:ascii="Raleway" w:eastAsia="Raleway" w:hAnsi="Raleway" w:cs="Raleway"/>
        <w:b/>
        <w:bCs/>
        <w:color w:val="000000" w:themeColor="text1"/>
        <w:sz w:val="24"/>
        <w:szCs w:val="24"/>
      </w:rPr>
      <w:t>4</w:t>
    </w:r>
    <w:r w:rsidRPr="590C4918">
      <w:rPr>
        <w:rFonts w:ascii="Raleway" w:eastAsia="Raleway" w:hAnsi="Raleway" w:cs="Raleway"/>
        <w:b/>
        <w:bCs/>
        <w:color w:val="000000" w:themeColor="text1"/>
        <w:sz w:val="24"/>
        <w:szCs w:val="24"/>
      </w:rPr>
      <w:t xml:space="preserve">, </w:t>
    </w:r>
    <w:r w:rsidR="00D7634D" w:rsidRPr="590C4918">
      <w:rPr>
        <w:rFonts w:ascii="Raleway" w:eastAsia="Raleway" w:hAnsi="Raleway" w:cs="Raleway"/>
        <w:b/>
        <w:bCs/>
        <w:color w:val="000000" w:themeColor="text1"/>
        <w:sz w:val="24"/>
        <w:szCs w:val="24"/>
      </w:rPr>
      <w:t>2023,</w:t>
    </w:r>
    <w:r w:rsidR="00F00687">
      <w:rPr>
        <w:rFonts w:ascii="Raleway" w:eastAsia="Raleway" w:hAnsi="Raleway" w:cs="Raleway"/>
        <w:b/>
        <w:bCs/>
        <w:color w:val="000000" w:themeColor="text1"/>
        <w:sz w:val="24"/>
        <w:szCs w:val="24"/>
      </w:rPr>
      <w:t xml:space="preserve"> Discussion Draft</w:t>
    </w:r>
  </w:p>
  <w:p w14:paraId="461C4BEF" w14:textId="77777777" w:rsidR="0093087A" w:rsidRDefault="00930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5A98" w14:textId="77777777" w:rsidR="00D7634D" w:rsidRDefault="00D76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18CF"/>
    <w:multiLevelType w:val="hybridMultilevel"/>
    <w:tmpl w:val="5FEEAB8E"/>
    <w:lvl w:ilvl="0" w:tplc="02EC4F14">
      <w:start w:val="1"/>
      <w:numFmt w:val="bullet"/>
      <w:lvlText w:val=""/>
      <w:lvlJc w:val="left"/>
      <w:pPr>
        <w:ind w:left="720" w:hanging="360"/>
      </w:pPr>
      <w:rPr>
        <w:rFonts w:ascii="Symbol" w:hAnsi="Symbol" w:hint="default"/>
      </w:rPr>
    </w:lvl>
    <w:lvl w:ilvl="1" w:tplc="1542EE74">
      <w:start w:val="1"/>
      <w:numFmt w:val="bullet"/>
      <w:lvlText w:val="o"/>
      <w:lvlJc w:val="left"/>
      <w:pPr>
        <w:ind w:left="1440" w:hanging="360"/>
      </w:pPr>
      <w:rPr>
        <w:rFonts w:ascii="Courier New" w:hAnsi="Courier New" w:hint="default"/>
      </w:rPr>
    </w:lvl>
    <w:lvl w:ilvl="2" w:tplc="5F665E8E">
      <w:start w:val="1"/>
      <w:numFmt w:val="bullet"/>
      <w:lvlText w:val=""/>
      <w:lvlJc w:val="left"/>
      <w:pPr>
        <w:ind w:left="2160" w:hanging="360"/>
      </w:pPr>
      <w:rPr>
        <w:rFonts w:ascii="Wingdings" w:hAnsi="Wingdings" w:hint="default"/>
      </w:rPr>
    </w:lvl>
    <w:lvl w:ilvl="3" w:tplc="E38E4780">
      <w:start w:val="1"/>
      <w:numFmt w:val="bullet"/>
      <w:lvlText w:val=""/>
      <w:lvlJc w:val="left"/>
      <w:pPr>
        <w:ind w:left="2880" w:hanging="360"/>
      </w:pPr>
      <w:rPr>
        <w:rFonts w:ascii="Symbol" w:hAnsi="Symbol" w:hint="default"/>
      </w:rPr>
    </w:lvl>
    <w:lvl w:ilvl="4" w:tplc="5EA43CBE">
      <w:start w:val="1"/>
      <w:numFmt w:val="bullet"/>
      <w:lvlText w:val="o"/>
      <w:lvlJc w:val="left"/>
      <w:pPr>
        <w:ind w:left="3600" w:hanging="360"/>
      </w:pPr>
      <w:rPr>
        <w:rFonts w:ascii="Courier New" w:hAnsi="Courier New" w:hint="default"/>
      </w:rPr>
    </w:lvl>
    <w:lvl w:ilvl="5" w:tplc="D43812BA">
      <w:start w:val="1"/>
      <w:numFmt w:val="bullet"/>
      <w:lvlText w:val=""/>
      <w:lvlJc w:val="left"/>
      <w:pPr>
        <w:ind w:left="4320" w:hanging="360"/>
      </w:pPr>
      <w:rPr>
        <w:rFonts w:ascii="Wingdings" w:hAnsi="Wingdings" w:hint="default"/>
      </w:rPr>
    </w:lvl>
    <w:lvl w:ilvl="6" w:tplc="EC1C7522">
      <w:start w:val="1"/>
      <w:numFmt w:val="bullet"/>
      <w:lvlText w:val=""/>
      <w:lvlJc w:val="left"/>
      <w:pPr>
        <w:ind w:left="5040" w:hanging="360"/>
      </w:pPr>
      <w:rPr>
        <w:rFonts w:ascii="Symbol" w:hAnsi="Symbol" w:hint="default"/>
      </w:rPr>
    </w:lvl>
    <w:lvl w:ilvl="7" w:tplc="01C2A9D0">
      <w:start w:val="1"/>
      <w:numFmt w:val="bullet"/>
      <w:lvlText w:val="o"/>
      <w:lvlJc w:val="left"/>
      <w:pPr>
        <w:ind w:left="5760" w:hanging="360"/>
      </w:pPr>
      <w:rPr>
        <w:rFonts w:ascii="Courier New" w:hAnsi="Courier New" w:hint="default"/>
      </w:rPr>
    </w:lvl>
    <w:lvl w:ilvl="8" w:tplc="2CFAF18C">
      <w:start w:val="1"/>
      <w:numFmt w:val="bullet"/>
      <w:lvlText w:val=""/>
      <w:lvlJc w:val="left"/>
      <w:pPr>
        <w:ind w:left="6480" w:hanging="360"/>
      </w:pPr>
      <w:rPr>
        <w:rFonts w:ascii="Wingdings" w:hAnsi="Wingdings" w:hint="default"/>
      </w:rPr>
    </w:lvl>
  </w:abstractNum>
  <w:abstractNum w:abstractNumId="1" w15:restartNumberingAfterBreak="0">
    <w:nsid w:val="26E9E900"/>
    <w:multiLevelType w:val="hybridMultilevel"/>
    <w:tmpl w:val="3634CC56"/>
    <w:lvl w:ilvl="0" w:tplc="952AFAFE">
      <w:start w:val="1"/>
      <w:numFmt w:val="bullet"/>
      <w:lvlText w:val=""/>
      <w:lvlJc w:val="left"/>
      <w:pPr>
        <w:ind w:left="720" w:hanging="360"/>
      </w:pPr>
      <w:rPr>
        <w:rFonts w:ascii="Symbol" w:hAnsi="Symbol" w:hint="default"/>
      </w:rPr>
    </w:lvl>
    <w:lvl w:ilvl="1" w:tplc="A16AF498">
      <w:start w:val="1"/>
      <w:numFmt w:val="bullet"/>
      <w:lvlText w:val="o"/>
      <w:lvlJc w:val="left"/>
      <w:pPr>
        <w:ind w:left="1440" w:hanging="360"/>
      </w:pPr>
      <w:rPr>
        <w:rFonts w:ascii="Courier New" w:hAnsi="Courier New" w:hint="default"/>
      </w:rPr>
    </w:lvl>
    <w:lvl w:ilvl="2" w:tplc="F14A6CB8">
      <w:start w:val="1"/>
      <w:numFmt w:val="bullet"/>
      <w:lvlText w:val=""/>
      <w:lvlJc w:val="left"/>
      <w:pPr>
        <w:ind w:left="2160" w:hanging="360"/>
      </w:pPr>
      <w:rPr>
        <w:rFonts w:ascii="Wingdings" w:hAnsi="Wingdings" w:hint="default"/>
      </w:rPr>
    </w:lvl>
    <w:lvl w:ilvl="3" w:tplc="70421B04">
      <w:start w:val="1"/>
      <w:numFmt w:val="bullet"/>
      <w:lvlText w:val=""/>
      <w:lvlJc w:val="left"/>
      <w:pPr>
        <w:ind w:left="2880" w:hanging="360"/>
      </w:pPr>
      <w:rPr>
        <w:rFonts w:ascii="Symbol" w:hAnsi="Symbol" w:hint="default"/>
      </w:rPr>
    </w:lvl>
    <w:lvl w:ilvl="4" w:tplc="C67ABB4E">
      <w:start w:val="1"/>
      <w:numFmt w:val="bullet"/>
      <w:lvlText w:val="o"/>
      <w:lvlJc w:val="left"/>
      <w:pPr>
        <w:ind w:left="3600" w:hanging="360"/>
      </w:pPr>
      <w:rPr>
        <w:rFonts w:ascii="Courier New" w:hAnsi="Courier New" w:hint="default"/>
      </w:rPr>
    </w:lvl>
    <w:lvl w:ilvl="5" w:tplc="0F267310">
      <w:start w:val="1"/>
      <w:numFmt w:val="bullet"/>
      <w:lvlText w:val=""/>
      <w:lvlJc w:val="left"/>
      <w:pPr>
        <w:ind w:left="4320" w:hanging="360"/>
      </w:pPr>
      <w:rPr>
        <w:rFonts w:ascii="Wingdings" w:hAnsi="Wingdings" w:hint="default"/>
      </w:rPr>
    </w:lvl>
    <w:lvl w:ilvl="6" w:tplc="942A86C0">
      <w:start w:val="1"/>
      <w:numFmt w:val="bullet"/>
      <w:lvlText w:val=""/>
      <w:lvlJc w:val="left"/>
      <w:pPr>
        <w:ind w:left="5040" w:hanging="360"/>
      </w:pPr>
      <w:rPr>
        <w:rFonts w:ascii="Symbol" w:hAnsi="Symbol" w:hint="default"/>
      </w:rPr>
    </w:lvl>
    <w:lvl w:ilvl="7" w:tplc="E0E0A786">
      <w:start w:val="1"/>
      <w:numFmt w:val="bullet"/>
      <w:lvlText w:val="o"/>
      <w:lvlJc w:val="left"/>
      <w:pPr>
        <w:ind w:left="5760" w:hanging="360"/>
      </w:pPr>
      <w:rPr>
        <w:rFonts w:ascii="Courier New" w:hAnsi="Courier New" w:hint="default"/>
      </w:rPr>
    </w:lvl>
    <w:lvl w:ilvl="8" w:tplc="6C7C2DE2">
      <w:start w:val="1"/>
      <w:numFmt w:val="bullet"/>
      <w:lvlText w:val=""/>
      <w:lvlJc w:val="left"/>
      <w:pPr>
        <w:ind w:left="6480" w:hanging="360"/>
      </w:pPr>
      <w:rPr>
        <w:rFonts w:ascii="Wingdings" w:hAnsi="Wingdings" w:hint="default"/>
      </w:rPr>
    </w:lvl>
  </w:abstractNum>
  <w:abstractNum w:abstractNumId="2" w15:restartNumberingAfterBreak="0">
    <w:nsid w:val="55189B78"/>
    <w:multiLevelType w:val="hybridMultilevel"/>
    <w:tmpl w:val="02FA9C5C"/>
    <w:lvl w:ilvl="0" w:tplc="0ED45018">
      <w:start w:val="1"/>
      <w:numFmt w:val="bullet"/>
      <w:lvlText w:val=""/>
      <w:lvlJc w:val="center"/>
      <w:pPr>
        <w:ind w:left="720" w:hanging="360"/>
      </w:pPr>
      <w:rPr>
        <w:rFonts w:ascii="Symbol" w:hAnsi="Symbol" w:hint="default"/>
      </w:rPr>
    </w:lvl>
    <w:lvl w:ilvl="1" w:tplc="2ABA807C">
      <w:start w:val="1"/>
      <w:numFmt w:val="bullet"/>
      <w:lvlText w:val="o"/>
      <w:lvlJc w:val="left"/>
      <w:pPr>
        <w:ind w:left="1440" w:hanging="360"/>
      </w:pPr>
      <w:rPr>
        <w:rFonts w:ascii="Courier New" w:hAnsi="Courier New" w:hint="default"/>
      </w:rPr>
    </w:lvl>
    <w:lvl w:ilvl="2" w:tplc="920C5C80">
      <w:start w:val="1"/>
      <w:numFmt w:val="bullet"/>
      <w:lvlText w:val=""/>
      <w:lvlJc w:val="left"/>
      <w:pPr>
        <w:ind w:left="2160" w:hanging="360"/>
      </w:pPr>
      <w:rPr>
        <w:rFonts w:ascii="Wingdings" w:hAnsi="Wingdings" w:hint="default"/>
      </w:rPr>
    </w:lvl>
    <w:lvl w:ilvl="3" w:tplc="2932A686">
      <w:start w:val="1"/>
      <w:numFmt w:val="bullet"/>
      <w:lvlText w:val=""/>
      <w:lvlJc w:val="left"/>
      <w:pPr>
        <w:ind w:left="2880" w:hanging="360"/>
      </w:pPr>
      <w:rPr>
        <w:rFonts w:ascii="Symbol" w:hAnsi="Symbol" w:hint="default"/>
      </w:rPr>
    </w:lvl>
    <w:lvl w:ilvl="4" w:tplc="E79E1768">
      <w:start w:val="1"/>
      <w:numFmt w:val="bullet"/>
      <w:lvlText w:val="o"/>
      <w:lvlJc w:val="left"/>
      <w:pPr>
        <w:ind w:left="3600" w:hanging="360"/>
      </w:pPr>
      <w:rPr>
        <w:rFonts w:ascii="Courier New" w:hAnsi="Courier New" w:hint="default"/>
      </w:rPr>
    </w:lvl>
    <w:lvl w:ilvl="5" w:tplc="36888D88">
      <w:start w:val="1"/>
      <w:numFmt w:val="bullet"/>
      <w:lvlText w:val=""/>
      <w:lvlJc w:val="left"/>
      <w:pPr>
        <w:ind w:left="4320" w:hanging="360"/>
      </w:pPr>
      <w:rPr>
        <w:rFonts w:ascii="Wingdings" w:hAnsi="Wingdings" w:hint="default"/>
      </w:rPr>
    </w:lvl>
    <w:lvl w:ilvl="6" w:tplc="40D23520">
      <w:start w:val="1"/>
      <w:numFmt w:val="bullet"/>
      <w:lvlText w:val=""/>
      <w:lvlJc w:val="left"/>
      <w:pPr>
        <w:ind w:left="5040" w:hanging="360"/>
      </w:pPr>
      <w:rPr>
        <w:rFonts w:ascii="Symbol" w:hAnsi="Symbol" w:hint="default"/>
      </w:rPr>
    </w:lvl>
    <w:lvl w:ilvl="7" w:tplc="84ECEE68">
      <w:start w:val="1"/>
      <w:numFmt w:val="bullet"/>
      <w:lvlText w:val="o"/>
      <w:lvlJc w:val="left"/>
      <w:pPr>
        <w:ind w:left="5760" w:hanging="360"/>
      </w:pPr>
      <w:rPr>
        <w:rFonts w:ascii="Courier New" w:hAnsi="Courier New" w:hint="default"/>
      </w:rPr>
    </w:lvl>
    <w:lvl w:ilvl="8" w:tplc="B0E4CF5C">
      <w:start w:val="1"/>
      <w:numFmt w:val="bullet"/>
      <w:lvlText w:val=""/>
      <w:lvlJc w:val="left"/>
      <w:pPr>
        <w:ind w:left="6480" w:hanging="360"/>
      </w:pPr>
      <w:rPr>
        <w:rFonts w:ascii="Wingdings" w:hAnsi="Wingdings" w:hint="default"/>
      </w:rPr>
    </w:lvl>
  </w:abstractNum>
  <w:abstractNum w:abstractNumId="3" w15:restartNumberingAfterBreak="0">
    <w:nsid w:val="69BF387F"/>
    <w:multiLevelType w:val="hybridMultilevel"/>
    <w:tmpl w:val="4052D5DE"/>
    <w:lvl w:ilvl="0" w:tplc="48647C7E">
      <w:start w:val="1"/>
      <w:numFmt w:val="bullet"/>
      <w:lvlText w:val=""/>
      <w:lvlJc w:val="left"/>
      <w:pPr>
        <w:ind w:left="720" w:hanging="360"/>
      </w:pPr>
      <w:rPr>
        <w:rFonts w:ascii="Symbol" w:hAnsi="Symbol" w:hint="default"/>
      </w:rPr>
    </w:lvl>
    <w:lvl w:ilvl="1" w:tplc="862A80D8">
      <w:start w:val="1"/>
      <w:numFmt w:val="bullet"/>
      <w:lvlText w:val="o"/>
      <w:lvlJc w:val="left"/>
      <w:pPr>
        <w:ind w:left="1440" w:hanging="360"/>
      </w:pPr>
      <w:rPr>
        <w:rFonts w:ascii="Courier New" w:hAnsi="Courier New" w:hint="default"/>
      </w:rPr>
    </w:lvl>
    <w:lvl w:ilvl="2" w:tplc="47063B6A">
      <w:start w:val="1"/>
      <w:numFmt w:val="bullet"/>
      <w:lvlText w:val=""/>
      <w:lvlJc w:val="left"/>
      <w:pPr>
        <w:ind w:left="2160" w:hanging="360"/>
      </w:pPr>
      <w:rPr>
        <w:rFonts w:ascii="Wingdings" w:hAnsi="Wingdings" w:hint="default"/>
      </w:rPr>
    </w:lvl>
    <w:lvl w:ilvl="3" w:tplc="B6FA0894">
      <w:start w:val="1"/>
      <w:numFmt w:val="bullet"/>
      <w:lvlText w:val=""/>
      <w:lvlJc w:val="left"/>
      <w:pPr>
        <w:ind w:left="2880" w:hanging="360"/>
      </w:pPr>
      <w:rPr>
        <w:rFonts w:ascii="Symbol" w:hAnsi="Symbol" w:hint="default"/>
      </w:rPr>
    </w:lvl>
    <w:lvl w:ilvl="4" w:tplc="7D0E1458">
      <w:start w:val="1"/>
      <w:numFmt w:val="bullet"/>
      <w:lvlText w:val="o"/>
      <w:lvlJc w:val="left"/>
      <w:pPr>
        <w:ind w:left="3600" w:hanging="360"/>
      </w:pPr>
      <w:rPr>
        <w:rFonts w:ascii="Courier New" w:hAnsi="Courier New" w:hint="default"/>
      </w:rPr>
    </w:lvl>
    <w:lvl w:ilvl="5" w:tplc="D41E4518">
      <w:start w:val="1"/>
      <w:numFmt w:val="bullet"/>
      <w:lvlText w:val=""/>
      <w:lvlJc w:val="left"/>
      <w:pPr>
        <w:ind w:left="4320" w:hanging="360"/>
      </w:pPr>
      <w:rPr>
        <w:rFonts w:ascii="Wingdings" w:hAnsi="Wingdings" w:hint="default"/>
      </w:rPr>
    </w:lvl>
    <w:lvl w:ilvl="6" w:tplc="1BA0233E">
      <w:start w:val="1"/>
      <w:numFmt w:val="bullet"/>
      <w:lvlText w:val=""/>
      <w:lvlJc w:val="left"/>
      <w:pPr>
        <w:ind w:left="5040" w:hanging="360"/>
      </w:pPr>
      <w:rPr>
        <w:rFonts w:ascii="Symbol" w:hAnsi="Symbol" w:hint="default"/>
      </w:rPr>
    </w:lvl>
    <w:lvl w:ilvl="7" w:tplc="6C0EDF2E">
      <w:start w:val="1"/>
      <w:numFmt w:val="bullet"/>
      <w:lvlText w:val="o"/>
      <w:lvlJc w:val="left"/>
      <w:pPr>
        <w:ind w:left="5760" w:hanging="360"/>
      </w:pPr>
      <w:rPr>
        <w:rFonts w:ascii="Courier New" w:hAnsi="Courier New" w:hint="default"/>
      </w:rPr>
    </w:lvl>
    <w:lvl w:ilvl="8" w:tplc="9FC0F978">
      <w:start w:val="1"/>
      <w:numFmt w:val="bullet"/>
      <w:lvlText w:val=""/>
      <w:lvlJc w:val="left"/>
      <w:pPr>
        <w:ind w:left="6480" w:hanging="360"/>
      </w:pPr>
      <w:rPr>
        <w:rFonts w:ascii="Wingdings" w:hAnsi="Wingdings" w:hint="default"/>
      </w:rPr>
    </w:lvl>
  </w:abstractNum>
  <w:abstractNum w:abstractNumId="4" w15:restartNumberingAfterBreak="0">
    <w:nsid w:val="7F135FBF"/>
    <w:multiLevelType w:val="hybridMultilevel"/>
    <w:tmpl w:val="94ACFD08"/>
    <w:lvl w:ilvl="0" w:tplc="A97C9930">
      <w:start w:val="1"/>
      <w:numFmt w:val="bullet"/>
      <w:lvlText w:val=""/>
      <w:lvlJc w:val="left"/>
      <w:pPr>
        <w:ind w:left="720" w:hanging="360"/>
      </w:pPr>
      <w:rPr>
        <w:rFonts w:ascii="Symbol" w:hAnsi="Symbol" w:hint="default"/>
      </w:rPr>
    </w:lvl>
    <w:lvl w:ilvl="1" w:tplc="2ED06272">
      <w:start w:val="1"/>
      <w:numFmt w:val="bullet"/>
      <w:lvlText w:val="o"/>
      <w:lvlJc w:val="left"/>
      <w:pPr>
        <w:ind w:left="1440" w:hanging="360"/>
      </w:pPr>
      <w:rPr>
        <w:rFonts w:ascii="Courier New" w:hAnsi="Courier New" w:hint="default"/>
      </w:rPr>
    </w:lvl>
    <w:lvl w:ilvl="2" w:tplc="4762D200">
      <w:start w:val="1"/>
      <w:numFmt w:val="bullet"/>
      <w:lvlText w:val=""/>
      <w:lvlJc w:val="left"/>
      <w:pPr>
        <w:ind w:left="2160" w:hanging="360"/>
      </w:pPr>
      <w:rPr>
        <w:rFonts w:ascii="Wingdings" w:hAnsi="Wingdings" w:hint="default"/>
      </w:rPr>
    </w:lvl>
    <w:lvl w:ilvl="3" w:tplc="DBCE0C1C">
      <w:start w:val="1"/>
      <w:numFmt w:val="bullet"/>
      <w:lvlText w:val=""/>
      <w:lvlJc w:val="left"/>
      <w:pPr>
        <w:ind w:left="2880" w:hanging="360"/>
      </w:pPr>
      <w:rPr>
        <w:rFonts w:ascii="Symbol" w:hAnsi="Symbol" w:hint="default"/>
      </w:rPr>
    </w:lvl>
    <w:lvl w:ilvl="4" w:tplc="D0A625FE">
      <w:start w:val="1"/>
      <w:numFmt w:val="bullet"/>
      <w:lvlText w:val="o"/>
      <w:lvlJc w:val="left"/>
      <w:pPr>
        <w:ind w:left="3600" w:hanging="360"/>
      </w:pPr>
      <w:rPr>
        <w:rFonts w:ascii="Courier New" w:hAnsi="Courier New" w:hint="default"/>
      </w:rPr>
    </w:lvl>
    <w:lvl w:ilvl="5" w:tplc="0554C454">
      <w:start w:val="1"/>
      <w:numFmt w:val="bullet"/>
      <w:lvlText w:val=""/>
      <w:lvlJc w:val="left"/>
      <w:pPr>
        <w:ind w:left="4320" w:hanging="360"/>
      </w:pPr>
      <w:rPr>
        <w:rFonts w:ascii="Wingdings" w:hAnsi="Wingdings" w:hint="default"/>
      </w:rPr>
    </w:lvl>
    <w:lvl w:ilvl="6" w:tplc="87B0E582">
      <w:start w:val="1"/>
      <w:numFmt w:val="bullet"/>
      <w:lvlText w:val=""/>
      <w:lvlJc w:val="left"/>
      <w:pPr>
        <w:ind w:left="5040" w:hanging="360"/>
      </w:pPr>
      <w:rPr>
        <w:rFonts w:ascii="Symbol" w:hAnsi="Symbol" w:hint="default"/>
      </w:rPr>
    </w:lvl>
    <w:lvl w:ilvl="7" w:tplc="3CCE2A2A">
      <w:start w:val="1"/>
      <w:numFmt w:val="bullet"/>
      <w:lvlText w:val="o"/>
      <w:lvlJc w:val="left"/>
      <w:pPr>
        <w:ind w:left="5760" w:hanging="360"/>
      </w:pPr>
      <w:rPr>
        <w:rFonts w:ascii="Courier New" w:hAnsi="Courier New" w:hint="default"/>
      </w:rPr>
    </w:lvl>
    <w:lvl w:ilvl="8" w:tplc="03C058AE">
      <w:start w:val="1"/>
      <w:numFmt w:val="bullet"/>
      <w:lvlText w:val=""/>
      <w:lvlJc w:val="left"/>
      <w:pPr>
        <w:ind w:left="6480" w:hanging="360"/>
      </w:pPr>
      <w:rPr>
        <w:rFonts w:ascii="Wingdings" w:hAnsi="Wingdings" w:hint="default"/>
      </w:rPr>
    </w:lvl>
  </w:abstractNum>
  <w:num w:numId="1" w16cid:durableId="1627010029">
    <w:abstractNumId w:val="0"/>
  </w:num>
  <w:num w:numId="2" w16cid:durableId="1280069061">
    <w:abstractNumId w:val="2"/>
  </w:num>
  <w:num w:numId="3" w16cid:durableId="479661328">
    <w:abstractNumId w:val="4"/>
  </w:num>
  <w:num w:numId="4" w16cid:durableId="392778741">
    <w:abstractNumId w:val="1"/>
  </w:num>
  <w:num w:numId="5" w16cid:durableId="167656546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O3NDAwMTY0MjEzNbJU0lEKTi0uzszPAykwqQUAoAb90SwAAAA="/>
  </w:docVars>
  <w:rsids>
    <w:rsidRoot w:val="4B30FFA5"/>
    <w:rsid w:val="0004065B"/>
    <w:rsid w:val="000720AE"/>
    <w:rsid w:val="00083DDD"/>
    <w:rsid w:val="00093B27"/>
    <w:rsid w:val="00096E15"/>
    <w:rsid w:val="000D2198"/>
    <w:rsid w:val="00127E72"/>
    <w:rsid w:val="001427D5"/>
    <w:rsid w:val="00151534"/>
    <w:rsid w:val="001C1F07"/>
    <w:rsid w:val="001F25DD"/>
    <w:rsid w:val="0023666E"/>
    <w:rsid w:val="002B338B"/>
    <w:rsid w:val="002C00FA"/>
    <w:rsid w:val="003076D6"/>
    <w:rsid w:val="00320C02"/>
    <w:rsid w:val="00335A1D"/>
    <w:rsid w:val="00335BED"/>
    <w:rsid w:val="00364A7C"/>
    <w:rsid w:val="003A5282"/>
    <w:rsid w:val="003B268B"/>
    <w:rsid w:val="00427469"/>
    <w:rsid w:val="00455A11"/>
    <w:rsid w:val="004701D0"/>
    <w:rsid w:val="0047590F"/>
    <w:rsid w:val="00482AAC"/>
    <w:rsid w:val="004D26C2"/>
    <w:rsid w:val="00571BA0"/>
    <w:rsid w:val="00575F62"/>
    <w:rsid w:val="005F6B62"/>
    <w:rsid w:val="00615B04"/>
    <w:rsid w:val="00671DC1"/>
    <w:rsid w:val="006B6FF8"/>
    <w:rsid w:val="006E0204"/>
    <w:rsid w:val="006F1AC4"/>
    <w:rsid w:val="00712690"/>
    <w:rsid w:val="0071562E"/>
    <w:rsid w:val="00727A6E"/>
    <w:rsid w:val="00766F26"/>
    <w:rsid w:val="00774D5F"/>
    <w:rsid w:val="00786520"/>
    <w:rsid w:val="00791179"/>
    <w:rsid w:val="007926E5"/>
    <w:rsid w:val="007967DD"/>
    <w:rsid w:val="007A0EC1"/>
    <w:rsid w:val="007A7A40"/>
    <w:rsid w:val="007C37E2"/>
    <w:rsid w:val="007D5DFF"/>
    <w:rsid w:val="00856D9E"/>
    <w:rsid w:val="008609D9"/>
    <w:rsid w:val="00860AFC"/>
    <w:rsid w:val="00860F21"/>
    <w:rsid w:val="0089274F"/>
    <w:rsid w:val="008E3500"/>
    <w:rsid w:val="008F7578"/>
    <w:rsid w:val="0091286B"/>
    <w:rsid w:val="00915372"/>
    <w:rsid w:val="0092315A"/>
    <w:rsid w:val="00923F12"/>
    <w:rsid w:val="0093087A"/>
    <w:rsid w:val="00931E14"/>
    <w:rsid w:val="009E15ED"/>
    <w:rsid w:val="009E4FD2"/>
    <w:rsid w:val="00A0628E"/>
    <w:rsid w:val="00A803FB"/>
    <w:rsid w:val="00A841F2"/>
    <w:rsid w:val="00AC0E70"/>
    <w:rsid w:val="00B16347"/>
    <w:rsid w:val="00B77BE5"/>
    <w:rsid w:val="00B814D0"/>
    <w:rsid w:val="00B94BBC"/>
    <w:rsid w:val="00BB11B4"/>
    <w:rsid w:val="00BD3F24"/>
    <w:rsid w:val="00C036FC"/>
    <w:rsid w:val="00C62380"/>
    <w:rsid w:val="00C972DB"/>
    <w:rsid w:val="00CB6BD4"/>
    <w:rsid w:val="00CE5E26"/>
    <w:rsid w:val="00CE676B"/>
    <w:rsid w:val="00D7634D"/>
    <w:rsid w:val="00DC5A89"/>
    <w:rsid w:val="00DF105F"/>
    <w:rsid w:val="00DF31C0"/>
    <w:rsid w:val="00E54CB9"/>
    <w:rsid w:val="00E63389"/>
    <w:rsid w:val="00E65C29"/>
    <w:rsid w:val="00EB5954"/>
    <w:rsid w:val="00EC5F75"/>
    <w:rsid w:val="00EC68A3"/>
    <w:rsid w:val="00F00687"/>
    <w:rsid w:val="00FB5C4F"/>
    <w:rsid w:val="00FB6FC2"/>
    <w:rsid w:val="02BB7E76"/>
    <w:rsid w:val="02C69612"/>
    <w:rsid w:val="057CCBAF"/>
    <w:rsid w:val="05D2AB4F"/>
    <w:rsid w:val="05D3E32E"/>
    <w:rsid w:val="07C21DE2"/>
    <w:rsid w:val="0AFDE70B"/>
    <w:rsid w:val="0B5F2FF1"/>
    <w:rsid w:val="0B6B8CB5"/>
    <w:rsid w:val="0D70FCB1"/>
    <w:rsid w:val="11647D6F"/>
    <w:rsid w:val="117D151F"/>
    <w:rsid w:val="124323B4"/>
    <w:rsid w:val="13FCDF6E"/>
    <w:rsid w:val="1456AD45"/>
    <w:rsid w:val="1742537B"/>
    <w:rsid w:val="1829AE09"/>
    <w:rsid w:val="1917C1F6"/>
    <w:rsid w:val="19951FDD"/>
    <w:rsid w:val="1C364B27"/>
    <w:rsid w:val="1D33E312"/>
    <w:rsid w:val="1D713EAC"/>
    <w:rsid w:val="1E15D3B6"/>
    <w:rsid w:val="206B83D4"/>
    <w:rsid w:val="209EC7D4"/>
    <w:rsid w:val="20A8DF6E"/>
    <w:rsid w:val="24D44323"/>
    <w:rsid w:val="2577E3A1"/>
    <w:rsid w:val="262C4B85"/>
    <w:rsid w:val="26701384"/>
    <w:rsid w:val="26A89DB8"/>
    <w:rsid w:val="29077A06"/>
    <w:rsid w:val="295687BB"/>
    <w:rsid w:val="2BD9D337"/>
    <w:rsid w:val="2BDDB212"/>
    <w:rsid w:val="2CB7DACD"/>
    <w:rsid w:val="2D9F4CD9"/>
    <w:rsid w:val="2EF84B9C"/>
    <w:rsid w:val="2F1173F9"/>
    <w:rsid w:val="2F6BA1CE"/>
    <w:rsid w:val="2FB8E9EF"/>
    <w:rsid w:val="30C6F0BE"/>
    <w:rsid w:val="322FEC5E"/>
    <w:rsid w:val="329A3F0F"/>
    <w:rsid w:val="33DD4DEF"/>
    <w:rsid w:val="33E56923"/>
    <w:rsid w:val="344171BE"/>
    <w:rsid w:val="35DAE352"/>
    <w:rsid w:val="37025544"/>
    <w:rsid w:val="3752C8BD"/>
    <w:rsid w:val="38287414"/>
    <w:rsid w:val="3AD6FBBD"/>
    <w:rsid w:val="3C344307"/>
    <w:rsid w:val="3E3B2ADE"/>
    <w:rsid w:val="3E99CD57"/>
    <w:rsid w:val="3FA11014"/>
    <w:rsid w:val="4223224C"/>
    <w:rsid w:val="423B8AC5"/>
    <w:rsid w:val="424DFDAE"/>
    <w:rsid w:val="44B1F446"/>
    <w:rsid w:val="457D1972"/>
    <w:rsid w:val="45859E70"/>
    <w:rsid w:val="48DE4752"/>
    <w:rsid w:val="48E2D703"/>
    <w:rsid w:val="491014AD"/>
    <w:rsid w:val="49162FF4"/>
    <w:rsid w:val="49856569"/>
    <w:rsid w:val="499E985E"/>
    <w:rsid w:val="49A2CC3C"/>
    <w:rsid w:val="49A998A6"/>
    <w:rsid w:val="4B30FFA5"/>
    <w:rsid w:val="4F462D1A"/>
    <w:rsid w:val="4F7B547A"/>
    <w:rsid w:val="4F7E8F2F"/>
    <w:rsid w:val="4F9FC377"/>
    <w:rsid w:val="52BF983D"/>
    <w:rsid w:val="5545E1AA"/>
    <w:rsid w:val="559B2AC2"/>
    <w:rsid w:val="565C4259"/>
    <w:rsid w:val="588643A1"/>
    <w:rsid w:val="58D2CB84"/>
    <w:rsid w:val="590C4918"/>
    <w:rsid w:val="5AD7F8E2"/>
    <w:rsid w:val="5BF32ACA"/>
    <w:rsid w:val="60F722BF"/>
    <w:rsid w:val="61A0F4E2"/>
    <w:rsid w:val="6326D2C7"/>
    <w:rsid w:val="64000AC1"/>
    <w:rsid w:val="64550F2B"/>
    <w:rsid w:val="64C1BC81"/>
    <w:rsid w:val="65D41689"/>
    <w:rsid w:val="673BDC30"/>
    <w:rsid w:val="67515FE7"/>
    <w:rsid w:val="678A8982"/>
    <w:rsid w:val="6804A1C5"/>
    <w:rsid w:val="6905CCB0"/>
    <w:rsid w:val="6A1E4F31"/>
    <w:rsid w:val="6C2E2BA1"/>
    <w:rsid w:val="6CC72947"/>
    <w:rsid w:val="6F3D2686"/>
    <w:rsid w:val="7040F6FF"/>
    <w:rsid w:val="735B6C46"/>
    <w:rsid w:val="736D25A4"/>
    <w:rsid w:val="75063C8B"/>
    <w:rsid w:val="753868BD"/>
    <w:rsid w:val="753FBA1F"/>
    <w:rsid w:val="7890E428"/>
    <w:rsid w:val="798C658D"/>
    <w:rsid w:val="7AB4DFBC"/>
    <w:rsid w:val="7AC02F92"/>
    <w:rsid w:val="7C10F1F8"/>
    <w:rsid w:val="7C50B01D"/>
    <w:rsid w:val="7E5FC33F"/>
    <w:rsid w:val="7EE7F1F7"/>
    <w:rsid w:val="7F64A1A9"/>
    <w:rsid w:val="7F83DDB3"/>
    <w:rsid w:val="7F8850DF"/>
    <w:rsid w:val="7FFB9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0FFA5"/>
  <w15:chartTrackingRefBased/>
  <w15:docId w15:val="{2B63D280-3962-4B32-87BD-FC58236C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30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87A"/>
  </w:style>
  <w:style w:type="paragraph" w:styleId="Footer">
    <w:name w:val="footer"/>
    <w:basedOn w:val="Normal"/>
    <w:link w:val="FooterChar"/>
    <w:uiPriority w:val="99"/>
    <w:unhideWhenUsed/>
    <w:rsid w:val="00930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87A"/>
  </w:style>
  <w:style w:type="table" w:styleId="TableGrid">
    <w:name w:val="Table Grid"/>
    <w:basedOn w:val="TableNormal"/>
    <w:uiPriority w:val="59"/>
    <w:rsid w:val="009308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1668</Words>
  <Characters>9512</Characters>
  <Application>Microsoft Office Word</Application>
  <DocSecurity>0</DocSecurity>
  <Lines>79</Lines>
  <Paragraphs>22</Paragraphs>
  <ScaleCrop>false</ScaleCrop>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Mary-Frances Winters</dc:creator>
  <cp:keywords/>
  <dc:description/>
  <cp:lastModifiedBy>Kevin Carter</cp:lastModifiedBy>
  <cp:revision>57</cp:revision>
  <dcterms:created xsi:type="dcterms:W3CDTF">2023-12-11T17:37:00Z</dcterms:created>
  <dcterms:modified xsi:type="dcterms:W3CDTF">2023-12-14T14:35:00Z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aeac7e36a81073243b7bd6e52ca144aa9a5d1fa1a6046f94107fdff5f4977fa8</vt:lpwstr>
  </property>
</Properties>
</file>