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firstLine="0"/>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rtl w:val="0"/>
        </w:rPr>
        <w:t xml:space="preserve">Include the following elements on a WHY partner with DELTALYFE</w:t>
      </w:r>
      <w:r w:rsidDel="00000000" w:rsidR="00000000" w:rsidRPr="00000000">
        <w:rPr>
          <w:rtl w:val="0"/>
        </w:rPr>
      </w:r>
    </w:p>
    <w:p w:rsidR="00000000" w:rsidDel="00000000" w:rsidP="00000000" w:rsidRDefault="00000000" w:rsidRPr="00000000" w14:paraId="00000002">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Enhanced IT Roadmap Visibility: A digital transformation agency can improve IT roadmap visibility and awareness throughout the organization, ensuring that technology initiatives are aligned with business objectives and promoting collaboration among IT team members and other departments.</w:t>
      </w:r>
    </w:p>
    <w:p w:rsidR="00000000" w:rsidDel="00000000" w:rsidP="00000000" w:rsidRDefault="00000000" w:rsidRPr="00000000" w14:paraId="00000003">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Improved Written Communication: The agency can enhance written communication practices, facilitating effective information sharing and collaboration across the organization.</w:t>
      </w:r>
    </w:p>
    <w:p w:rsidR="00000000" w:rsidDel="00000000" w:rsidP="00000000" w:rsidRDefault="00000000" w:rsidRPr="00000000" w14:paraId="00000004">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Cross-Functional Awareness and Collaboration: By promoting cross-functional awareness of roles and responsibilities, the agency can foster collaboration and knowledge sharing among different departments, leading to a more cohesive and aligned organizational structure.</w:t>
      </w:r>
    </w:p>
    <w:p w:rsidR="00000000" w:rsidDel="00000000" w:rsidP="00000000" w:rsidRDefault="00000000" w:rsidRPr="00000000" w14:paraId="00000005">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Proactive Problem-Solving: The agency can instill a culture of proactive problem-solving, addressing issues before they become critical and promoting a solution-driven and customer-centric service mentality.</w:t>
      </w:r>
    </w:p>
    <w:p w:rsidR="00000000" w:rsidDel="00000000" w:rsidP="00000000" w:rsidRDefault="00000000" w:rsidRPr="00000000" w14:paraId="00000006">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Mentoring and Coaching: Through active mentoring and coaching, the agency can help team members understand the value of their contributions in terms of security, compliance, standardization, scalability, and overall business impact.</w:t>
      </w:r>
    </w:p>
    <w:p w:rsidR="00000000" w:rsidDel="00000000" w:rsidP="00000000" w:rsidRDefault="00000000" w:rsidRPr="00000000" w14:paraId="00000007">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Business Continuity and Risk Mitigation: The agency can identify gaps and risks, providing clarity with respect to solutions and mitigating risks to ensure business continuity and minimize vulnerabilities.</w:t>
      </w:r>
    </w:p>
    <w:p w:rsidR="00000000" w:rsidDel="00000000" w:rsidP="00000000" w:rsidRDefault="00000000" w:rsidRPr="00000000" w14:paraId="00000008">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Innovation and Collaboration Tools: Introducing innovative methods and tools for collaboration among IT and cross-functional teams can drive innovation and streamline processes.</w:t>
      </w:r>
    </w:p>
    <w:p w:rsidR="00000000" w:rsidDel="00000000" w:rsidP="00000000" w:rsidRDefault="00000000" w:rsidRPr="00000000" w14:paraId="00000009">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Alignment and Accountability: The agency can help establish alignment and accountability within the organization, ensuring that all initiatives are aligned with business goals and promoting a culture of active solutioning.</w:t>
      </w:r>
    </w:p>
    <w:p w:rsidR="00000000" w:rsidDel="00000000" w:rsidP="00000000" w:rsidRDefault="00000000" w:rsidRPr="00000000" w14:paraId="0000000A">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Resource Optimization and Planning: By addressing potential resource challenges and risks, the agency can assist in optimizing resource allocation and planning for future growth.</w:t>
      </w:r>
    </w:p>
    <w:p w:rsidR="00000000" w:rsidDel="00000000" w:rsidP="00000000" w:rsidRDefault="00000000" w:rsidRPr="00000000" w14:paraId="0000000B">
      <w:pPr>
        <w:numPr>
          <w:ilvl w:val="0"/>
          <w:numId w:val="3"/>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Customer-Centric Approach: The agency can help the organization focus on what adds value to the business, with a strong emphasis on customer needs and wants, ultimately driving customer satisfaction and loyalty.</w:t>
      </w:r>
    </w:p>
    <w:p w:rsidR="00000000" w:rsidDel="00000000" w:rsidP="00000000" w:rsidRDefault="00000000" w:rsidRPr="00000000" w14:paraId="0000000C">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firstLine="0"/>
        <w:rPr>
          <w:rFonts w:ascii="Roboto" w:cs="Roboto" w:eastAsia="Roboto" w:hAnsi="Roboto"/>
          <w:color w:val="13343b"/>
          <w:sz w:val="24"/>
          <w:szCs w:val="24"/>
        </w:rPr>
      </w:pPr>
      <w:r w:rsidDel="00000000" w:rsidR="00000000" w:rsidRPr="00000000">
        <w:rPr>
          <w:rFonts w:ascii="Roboto" w:cs="Roboto" w:eastAsia="Roboto" w:hAnsi="Roboto"/>
          <w:color w:val="13343b"/>
          <w:sz w:val="24"/>
          <w:szCs w:val="24"/>
          <w:shd w:fill="fcfcf9" w:val="clear"/>
          <w:rtl w:val="0"/>
        </w:rPr>
        <w:t xml:space="preserve">These benefits highlight the transformative impact that a digital transformation agency can have on business alignment, operational efficiency, and overall organizational success.</w:t>
      </w:r>
      <w:r w:rsidDel="00000000" w:rsidR="00000000" w:rsidRPr="00000000">
        <w:rPr>
          <w:rtl w:val="0"/>
        </w:rPr>
      </w:r>
    </w:p>
    <w:p w:rsidR="00000000" w:rsidDel="00000000" w:rsidP="00000000" w:rsidRDefault="00000000" w:rsidRPr="00000000" w14:paraId="0000000D">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firstLine="0"/>
        <w:rPr>
          <w:rFonts w:ascii="Roboto" w:cs="Roboto" w:eastAsia="Roboto" w:hAnsi="Roboto"/>
          <w:color w:val="13343b"/>
          <w:sz w:val="24"/>
          <w:szCs w:val="24"/>
        </w:rPr>
      </w:pPr>
      <w:r w:rsidDel="00000000" w:rsidR="00000000" w:rsidRPr="00000000">
        <w:rPr>
          <w:rtl w:val="0"/>
        </w:rPr>
      </w:r>
    </w:p>
    <w:p w:rsidR="00000000" w:rsidDel="00000000" w:rsidP="00000000" w:rsidRDefault="00000000" w:rsidRPr="00000000" w14:paraId="0000000E">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firstLine="0"/>
        <w:rPr>
          <w:rFonts w:ascii="Roboto" w:cs="Roboto" w:eastAsia="Roboto" w:hAnsi="Roboto"/>
          <w:color w:val="13343b"/>
          <w:sz w:val="24"/>
          <w:szCs w:val="24"/>
        </w:rPr>
      </w:pPr>
      <w:r w:rsidDel="00000000" w:rsidR="00000000" w:rsidRPr="00000000">
        <w:rPr>
          <w:rFonts w:ascii="Roboto" w:cs="Roboto" w:eastAsia="Roboto" w:hAnsi="Roboto"/>
          <w:color w:val="13343b"/>
          <w:sz w:val="24"/>
          <w:szCs w:val="24"/>
          <w:rtl w:val="0"/>
        </w:rPr>
        <w:t xml:space="preserve">Create a flow on one of the web pages highlighting the following categories: </w:t>
      </w:r>
    </w:p>
    <w:p w:rsidR="00000000" w:rsidDel="00000000" w:rsidP="00000000" w:rsidRDefault="00000000" w:rsidRPr="00000000" w14:paraId="0000000F">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ind w:left="720" w:firstLine="0"/>
        <w:rPr>
          <w:rFonts w:ascii="Roboto" w:cs="Roboto" w:eastAsia="Roboto" w:hAnsi="Roboto"/>
          <w:color w:val="13343b"/>
          <w:sz w:val="24"/>
          <w:szCs w:val="24"/>
        </w:rPr>
      </w:pPr>
      <w:r w:rsidDel="00000000" w:rsidR="00000000" w:rsidRPr="00000000">
        <w:rPr>
          <w:rtl w:val="0"/>
        </w:rPr>
      </w:r>
    </w:p>
    <w:p w:rsidR="00000000" w:rsidDel="00000000" w:rsidP="00000000" w:rsidRDefault="00000000" w:rsidRPr="00000000" w14:paraId="00000010">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People: Representing the workforce, teamwork, and collaboration. This can be depicted through simple human figures working together or engaging in discussions, symbolizing the importance of aligning people within the organization.</w:t>
      </w:r>
    </w:p>
    <w:p w:rsidR="00000000" w:rsidDel="00000000" w:rsidP="00000000" w:rsidRDefault="00000000" w:rsidRPr="00000000" w14:paraId="00000011">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Process: Visualizing the flow of work, efficiency, and optimization. This can be illustrated through arrows, flowcharts, or gears, indicating the smooth and streamlined processes that the digital transformation agency aims to establish.</w:t>
      </w:r>
    </w:p>
    <w:p w:rsidR="00000000" w:rsidDel="00000000" w:rsidP="00000000" w:rsidRDefault="00000000" w:rsidRPr="00000000" w14:paraId="00000012">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Systems: Depicting technology, integration, and interconnectedness. This can be symbolized by interconnected nodes, network structures, or digital devices, emphasizing the agency's focus on aligning and optimizing technological systems.</w:t>
      </w:r>
    </w:p>
    <w:p w:rsidR="00000000" w:rsidDel="00000000" w:rsidP="00000000" w:rsidRDefault="00000000" w:rsidRPr="00000000" w14:paraId="00000013">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Alignment: Showing harmony, synchronization, and unity. This can be represented by elements coming together, forming a cohesive and integrated whole, signifying the agency's commitment to aligning various aspects of the business.</w:t>
      </w:r>
    </w:p>
    <w:p w:rsidR="00000000" w:rsidDel="00000000" w:rsidP="00000000" w:rsidRDefault="00000000" w:rsidRPr="00000000" w14:paraId="00000014">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Innovation: Conveying creativity, advancement, and forward-thinking. This can be depicted through symbols of innovation such as light bulbs, gears, or futuristic elements, highlighting the agency's innovative approach to digital transformation.</w:t>
      </w:r>
    </w:p>
    <w:p w:rsidR="00000000" w:rsidDel="00000000" w:rsidP="00000000" w:rsidRDefault="00000000" w:rsidRPr="00000000" w14:paraId="00000015">
      <w:pPr>
        <w:numPr>
          <w:ilvl w:val="0"/>
          <w:numId w:val="1"/>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Data and Analytics: Illustrating insights, patterns, and strategic decision-making. This can be symbolized by graphs, charts, or data points, emphasizing the agency's focus on leveraging data and analytics for informed decision-making.</w:t>
      </w:r>
    </w:p>
    <w:p w:rsidR="00000000" w:rsidDel="00000000" w:rsidP="00000000" w:rsidRDefault="00000000" w:rsidRPr="00000000" w14:paraId="00000016">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rPr>
          <w:rFonts w:ascii="Roboto" w:cs="Roboto" w:eastAsia="Roboto" w:hAnsi="Roboto"/>
          <w:color w:val="13343b"/>
          <w:sz w:val="24"/>
          <w:szCs w:val="24"/>
        </w:rPr>
      </w:pPr>
      <w:r w:rsidDel="00000000" w:rsidR="00000000" w:rsidRPr="00000000">
        <w:rPr>
          <w:rtl w:val="0"/>
        </w:rPr>
      </w:r>
    </w:p>
    <w:p w:rsidR="00000000" w:rsidDel="00000000" w:rsidP="00000000" w:rsidRDefault="00000000" w:rsidRPr="00000000" w14:paraId="00000017">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rPr>
          <w:rFonts w:ascii="Roboto" w:cs="Roboto" w:eastAsia="Roboto" w:hAnsi="Roboto"/>
          <w:color w:val="13343b"/>
          <w:sz w:val="24"/>
          <w:szCs w:val="24"/>
        </w:rPr>
      </w:pPr>
      <w:r w:rsidDel="00000000" w:rsidR="00000000" w:rsidRPr="00000000">
        <w:rPr>
          <w:rFonts w:ascii="Roboto" w:cs="Roboto" w:eastAsia="Roboto" w:hAnsi="Roboto"/>
          <w:color w:val="13343b"/>
          <w:sz w:val="24"/>
          <w:szCs w:val="24"/>
          <w:rtl w:val="0"/>
        </w:rPr>
        <w:t xml:space="preserve">A separate page focused on some ways we can help your organization</w:t>
      </w:r>
    </w:p>
    <w:p w:rsidR="00000000" w:rsidDel="00000000" w:rsidP="00000000" w:rsidRDefault="00000000" w:rsidRPr="00000000" w14:paraId="00000018">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120" w:lineRule="auto"/>
        <w:ind w:left="720" w:hanging="360"/>
      </w:pPr>
      <w:r w:rsidDel="00000000" w:rsidR="00000000" w:rsidRPr="00000000">
        <w:rPr>
          <w:rFonts w:ascii="Roboto" w:cs="Roboto" w:eastAsia="Roboto" w:hAnsi="Roboto"/>
          <w:color w:val="13343b"/>
          <w:sz w:val="24"/>
          <w:szCs w:val="24"/>
          <w:rtl w:val="0"/>
        </w:rPr>
        <w:t xml:space="preserve">Initial Conversations and Process Discovery: Engaging in initial conversations with key IT and operations leaders to understand the current state of processes and identify areas for improvement that align with business goals.</w:t>
      </w:r>
    </w:p>
    <w:p w:rsidR="00000000" w:rsidDel="00000000" w:rsidP="00000000" w:rsidRDefault="00000000" w:rsidRPr="00000000" w14:paraId="00000019">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Review of Documentation: Assessing the level of completeness, accuracy, and date stamp of IT documentation to ensure that improvements are aligned with business objectives and promote business continuity.</w:t>
      </w:r>
    </w:p>
    <w:p w:rsidR="00000000" w:rsidDel="00000000" w:rsidP="00000000" w:rsidRDefault="00000000" w:rsidRPr="00000000" w14:paraId="0000001A">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IT Roadmap Visibility and Awareness: Improving IT roadmap visibility and awareness throughout the organization to ensure that identified areas for improvement are aligned with critical business initiatives and strategic objectives.</w:t>
      </w:r>
    </w:p>
    <w:p w:rsidR="00000000" w:rsidDel="00000000" w:rsidP="00000000" w:rsidRDefault="00000000" w:rsidRPr="00000000" w14:paraId="0000001B">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Written Communication Enhancement: Enhancing written communication practices to ensure that improvements are aligned with business goals and promote effective information sharing and collaboration.</w:t>
      </w:r>
    </w:p>
    <w:p w:rsidR="00000000" w:rsidDel="00000000" w:rsidP="00000000" w:rsidRDefault="00000000" w:rsidRPr="00000000" w14:paraId="0000001C">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Cross-Functional Awareness and Collaboration: Promoting cross-functional awareness of roles and responsibilities to ensure that identified areas for improvement align with business goals and foster collaboration and knowledge sharing.</w:t>
      </w:r>
    </w:p>
    <w:p w:rsidR="00000000" w:rsidDel="00000000" w:rsidP="00000000" w:rsidRDefault="00000000" w:rsidRPr="00000000" w14:paraId="0000001D">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Focus on Value Addition: Identifying areas where the organization's focus on adding value to the business is low or non-existent, and developing strategies to align processes with value-driven objectives that are in line with business goals.</w:t>
      </w:r>
    </w:p>
    <w:p w:rsidR="00000000" w:rsidDel="00000000" w:rsidP="00000000" w:rsidRDefault="00000000" w:rsidRPr="00000000" w14:paraId="0000001E">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Proactive Problem-Solving Evaluation: Assessing the current state of proactive problem-solving within the organization to ensure that improvements are aligned with business goals and promote a culture of proactive solutioning and innovation.</w:t>
      </w:r>
    </w:p>
    <w:p w:rsidR="00000000" w:rsidDel="00000000" w:rsidP="00000000" w:rsidRDefault="00000000" w:rsidRPr="00000000" w14:paraId="0000001F">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Resource Optimization and Planning: Identifying potential resource challenges and risks, and developing plans to optimize resource allocation and planning for future growth in alignment with business goals.</w:t>
      </w:r>
    </w:p>
    <w:p w:rsidR="00000000" w:rsidDel="00000000" w:rsidP="00000000" w:rsidRDefault="00000000" w:rsidRPr="00000000" w14:paraId="00000020">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0" w:afterAutospacing="0" w:before="0" w:beforeAutospacing="0" w:lineRule="auto"/>
        <w:ind w:left="720" w:hanging="360"/>
      </w:pPr>
      <w:r w:rsidDel="00000000" w:rsidR="00000000" w:rsidRPr="00000000">
        <w:rPr>
          <w:rFonts w:ascii="Roboto" w:cs="Roboto" w:eastAsia="Roboto" w:hAnsi="Roboto"/>
          <w:color w:val="13343b"/>
          <w:sz w:val="24"/>
          <w:szCs w:val="24"/>
          <w:rtl w:val="0"/>
        </w:rPr>
        <w:t xml:space="preserve">Customer-Centric Approach Assessment: Evaluating the organization's focus on customer needs and wants to ensure that improvements are aligned with business goals and promote customer-centric processes and experiences.</w:t>
      </w:r>
    </w:p>
    <w:p w:rsidR="00000000" w:rsidDel="00000000" w:rsidP="00000000" w:rsidRDefault="00000000" w:rsidRPr="00000000" w14:paraId="00000021">
      <w:pPr>
        <w:numPr>
          <w:ilvl w:val="0"/>
          <w:numId w:val="2"/>
        </w:numPr>
        <w:pBdr>
          <w:top w:color="e5e7eb" w:space="0" w:sz="0" w:val="none"/>
          <w:left w:color="e5e7eb" w:space="0" w:sz="0" w:val="none"/>
          <w:bottom w:color="e5e7eb" w:space="0" w:sz="0" w:val="none"/>
          <w:right w:color="e5e7eb" w:space="0" w:sz="0" w:val="none"/>
          <w:between w:color="e5e7eb" w:space="0" w:sz="0" w:val="none"/>
        </w:pBdr>
        <w:shd w:fill="fcfcf9" w:val="clear"/>
        <w:spacing w:after="120" w:before="0" w:beforeAutospacing="0" w:lineRule="auto"/>
        <w:ind w:left="720" w:hanging="360"/>
      </w:pPr>
      <w:r w:rsidDel="00000000" w:rsidR="00000000" w:rsidRPr="00000000">
        <w:rPr>
          <w:rFonts w:ascii="Roboto" w:cs="Roboto" w:eastAsia="Roboto" w:hAnsi="Roboto"/>
          <w:color w:val="13343b"/>
          <w:sz w:val="24"/>
          <w:szCs w:val="24"/>
          <w:rtl w:val="0"/>
        </w:rPr>
        <w:t xml:space="preserve">Innovation and Collaboration Tools Introduction: Introducing innovative methods and tools for collaboration among IT and cross-functional teams to ensure that improvements are aligned with business goals and drive innovation and streamlined processes.</w:t>
      </w:r>
    </w:p>
    <w:p w:rsidR="00000000" w:rsidDel="00000000" w:rsidP="00000000" w:rsidRDefault="00000000" w:rsidRPr="00000000" w14:paraId="00000022">
      <w:pPr>
        <w:pBdr>
          <w:top w:color="e5e7eb" w:space="0" w:sz="0" w:val="none"/>
          <w:left w:color="e5e7eb" w:space="0" w:sz="0" w:val="none"/>
          <w:bottom w:color="e5e7eb" w:space="0" w:sz="0" w:val="none"/>
          <w:right w:color="e5e7eb" w:space="0" w:sz="0" w:val="none"/>
          <w:between w:color="e5e7eb" w:space="0" w:sz="0" w:val="none"/>
        </w:pBdr>
        <w:shd w:fill="fcfcf9" w:val="clear"/>
        <w:spacing w:after="120" w:before="120" w:lineRule="auto"/>
        <w:rPr>
          <w:rFonts w:ascii="Roboto" w:cs="Roboto" w:eastAsia="Roboto" w:hAnsi="Roboto"/>
          <w:color w:val="13343b"/>
          <w:sz w:val="24"/>
          <w:szCs w:val="24"/>
        </w:rPr>
      </w:pPr>
      <w:r w:rsidDel="00000000" w:rsidR="00000000" w:rsidRPr="00000000">
        <w:rPr>
          <w:rFonts w:ascii="Roboto" w:cs="Roboto" w:eastAsia="Roboto" w:hAnsi="Roboto"/>
          <w:color w:val="13343b"/>
          <w:sz w:val="24"/>
          <w:szCs w:val="24"/>
          <w:shd w:fill="fcfcf9" w:val="clear"/>
          <w:rtl w:val="0"/>
        </w:rPr>
        <w:t xml:space="preserve">By employing these methods, digital transformation agencies can ensure that identified areas for improvement are aligned with business goals, promoting organizational growth and success.</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A page to tell more about Delatlyfe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At Deltalyfe, we specialize in driving transformative change and innovation to help businesses thrive in today's dynamic landscape. Our comprehensive suite of services is designed to elevate your organization's performance, streamline operations, and foster sustainable growth.</w:t>
      </w:r>
    </w:p>
    <w:p w:rsidR="00000000" w:rsidDel="00000000" w:rsidP="00000000" w:rsidRDefault="00000000" w:rsidRPr="00000000" w14:paraId="00000027">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28">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29">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Our Core Offerings</w:t>
      </w:r>
    </w:p>
    <w:p w:rsidR="00000000" w:rsidDel="00000000" w:rsidP="00000000" w:rsidRDefault="00000000" w:rsidRPr="00000000" w14:paraId="0000002A">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Strategy</w:t>
      </w:r>
      <w:r w:rsidDel="00000000" w:rsidR="00000000" w:rsidRPr="00000000">
        <w:rPr>
          <w:rFonts w:ascii="Roboto" w:cs="Roboto" w:eastAsia="Roboto" w:hAnsi="Roboto"/>
          <w:color w:val="13343b"/>
          <w:sz w:val="24"/>
          <w:szCs w:val="24"/>
          <w:shd w:fill="fcfcf9" w:val="clear"/>
          <w:rtl w:val="0"/>
        </w:rPr>
        <w:t xml:space="preserve">: Our strategic consulting services are tailored to align your business objectives with actionable technology initiatives, enabling you to navigate challenges, seize opportunities and achieve your business goals with confidence.</w:t>
      </w:r>
    </w:p>
    <w:p w:rsidR="00000000" w:rsidDel="00000000" w:rsidP="00000000" w:rsidRDefault="00000000" w:rsidRPr="00000000" w14:paraId="0000002B">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Process Optimization</w:t>
      </w:r>
      <w:r w:rsidDel="00000000" w:rsidR="00000000" w:rsidRPr="00000000">
        <w:rPr>
          <w:rFonts w:ascii="Roboto" w:cs="Roboto" w:eastAsia="Roboto" w:hAnsi="Roboto"/>
          <w:color w:val="13343b"/>
          <w:sz w:val="24"/>
          <w:szCs w:val="24"/>
          <w:shd w:fill="fcfcf9" w:val="clear"/>
          <w:rtl w:val="0"/>
        </w:rPr>
        <w:t xml:space="preserve">: We specialize in optimizing processes to enhance efficiency, reduce costs, and drive operational excellence, ensuring that your business operates at its full potential.</w:t>
      </w:r>
    </w:p>
    <w:p w:rsidR="00000000" w:rsidDel="00000000" w:rsidP="00000000" w:rsidRDefault="00000000" w:rsidRPr="00000000" w14:paraId="0000002C">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CRM, loyalty, rewards, and Customer Experience</w:t>
      </w:r>
      <w:r w:rsidDel="00000000" w:rsidR="00000000" w:rsidRPr="00000000">
        <w:rPr>
          <w:rFonts w:ascii="Roboto" w:cs="Roboto" w:eastAsia="Roboto" w:hAnsi="Roboto"/>
          <w:color w:val="13343b"/>
          <w:sz w:val="24"/>
          <w:szCs w:val="24"/>
          <w:shd w:fill="fcfcf9" w:val="clear"/>
          <w:rtl w:val="0"/>
        </w:rPr>
        <w:t xml:space="preserve">: Elevate your customer engagement and loyalty with our CRM solutions, designed to deliver exceptional customer experiences and foster lasting relationships.</w:t>
      </w:r>
    </w:p>
    <w:p w:rsidR="00000000" w:rsidDel="00000000" w:rsidP="00000000" w:rsidRDefault="00000000" w:rsidRPr="00000000" w14:paraId="0000002D">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Innovation and Application Design</w:t>
      </w:r>
      <w:r w:rsidDel="00000000" w:rsidR="00000000" w:rsidRPr="00000000">
        <w:rPr>
          <w:rFonts w:ascii="Roboto" w:cs="Roboto" w:eastAsia="Roboto" w:hAnsi="Roboto"/>
          <w:color w:val="13343b"/>
          <w:sz w:val="24"/>
          <w:szCs w:val="24"/>
          <w:shd w:fill="fcfcf9" w:val="clear"/>
          <w:rtl w:val="0"/>
        </w:rPr>
        <w:t xml:space="preserve">: Embrace innovation with our cutting-edge application design and development services, tailored to meet your unique business needs and drive digital transformation.</w:t>
      </w:r>
    </w:p>
    <w:p w:rsidR="00000000" w:rsidDel="00000000" w:rsidP="00000000" w:rsidRDefault="00000000" w:rsidRPr="00000000" w14:paraId="0000002E">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Interim CxO and Private Equity Diligence</w:t>
      </w:r>
      <w:r w:rsidDel="00000000" w:rsidR="00000000" w:rsidRPr="00000000">
        <w:rPr>
          <w:rFonts w:ascii="Roboto" w:cs="Roboto" w:eastAsia="Roboto" w:hAnsi="Roboto"/>
          <w:color w:val="13343b"/>
          <w:sz w:val="24"/>
          <w:szCs w:val="24"/>
          <w:shd w:fill="fcfcf9" w:val="clear"/>
          <w:rtl w:val="0"/>
        </w:rPr>
        <w:t xml:space="preserve">: Our seasoned professionals provide interim CxO support and comprehensive private equity diligence services to guide your business through critical transitions and investment decisions.</w:t>
      </w:r>
    </w:p>
    <w:p w:rsidR="00000000" w:rsidDel="00000000" w:rsidP="00000000" w:rsidRDefault="00000000" w:rsidRPr="00000000" w14:paraId="0000002F">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Carve-outs and Integrations</w:t>
      </w:r>
      <w:r w:rsidDel="00000000" w:rsidR="00000000" w:rsidRPr="00000000">
        <w:rPr>
          <w:rFonts w:ascii="Roboto" w:cs="Roboto" w:eastAsia="Roboto" w:hAnsi="Roboto"/>
          <w:color w:val="13343b"/>
          <w:sz w:val="24"/>
          <w:szCs w:val="24"/>
          <w:shd w:fill="fcfcf9" w:val="clear"/>
          <w:rtl w:val="0"/>
        </w:rPr>
        <w:t xml:space="preserve">: Navigate complex carve-out processes and seamless integrations with our expert guidance, ensuring a smooth transition and optimized operational integration.</w:t>
      </w:r>
    </w:p>
    <w:p w:rsidR="00000000" w:rsidDel="00000000" w:rsidP="00000000" w:rsidRDefault="00000000" w:rsidRPr="00000000" w14:paraId="00000030">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Change Management</w:t>
      </w:r>
      <w:r w:rsidDel="00000000" w:rsidR="00000000" w:rsidRPr="00000000">
        <w:rPr>
          <w:rFonts w:ascii="Roboto" w:cs="Roboto" w:eastAsia="Roboto" w:hAnsi="Roboto"/>
          <w:color w:val="13343b"/>
          <w:sz w:val="24"/>
          <w:szCs w:val="24"/>
          <w:shd w:fill="fcfcf9" w:val="clear"/>
          <w:rtl w:val="0"/>
        </w:rPr>
        <w:t xml:space="preserve">: Embrace change with confidence. Our change management expertise empowers your organization to adapt, evolve, and thrive in the face of any transformational shift.</w:t>
      </w:r>
    </w:p>
    <w:p w:rsidR="00000000" w:rsidDel="00000000" w:rsidP="00000000" w:rsidRDefault="00000000" w:rsidRPr="00000000" w14:paraId="00000031">
      <w:pPr>
        <w:rPr>
          <w:rFonts w:ascii="Roboto" w:cs="Roboto" w:eastAsia="Roboto" w:hAnsi="Roboto"/>
          <w:color w:val="13343b"/>
          <w:sz w:val="24"/>
          <w:szCs w:val="24"/>
          <w:shd w:fill="fcfcf9" w:val="clear"/>
        </w:rPr>
      </w:pPr>
      <w:r w:rsidDel="00000000" w:rsidR="00000000" w:rsidRPr="00000000">
        <w:rPr>
          <w:rFonts w:ascii="Roboto" w:cs="Roboto" w:eastAsia="Roboto" w:hAnsi="Roboto"/>
          <w:i w:val="1"/>
          <w:color w:val="13343b"/>
          <w:sz w:val="24"/>
          <w:szCs w:val="24"/>
          <w:shd w:fill="fcfcf9" w:val="clear"/>
          <w:rtl w:val="0"/>
        </w:rPr>
        <w:t xml:space="preserve">AI and Analytics</w:t>
      </w:r>
      <w:r w:rsidDel="00000000" w:rsidR="00000000" w:rsidRPr="00000000">
        <w:rPr>
          <w:rFonts w:ascii="Roboto" w:cs="Roboto" w:eastAsia="Roboto" w:hAnsi="Roboto"/>
          <w:color w:val="13343b"/>
          <w:sz w:val="24"/>
          <w:szCs w:val="24"/>
          <w:shd w:fill="fcfcf9" w:val="clear"/>
          <w:rtl w:val="0"/>
        </w:rPr>
        <w:t xml:space="preserve">: Leverage the power of AI and advanced analytics to gain actionable insights, drive informed decision-making, and unlock new opportunities for growth.</w:t>
      </w:r>
    </w:p>
    <w:p w:rsidR="00000000" w:rsidDel="00000000" w:rsidP="00000000" w:rsidRDefault="00000000" w:rsidRPr="00000000" w14:paraId="00000032">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33">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Our Approach</w:t>
      </w:r>
    </w:p>
    <w:p w:rsidR="00000000" w:rsidDel="00000000" w:rsidP="00000000" w:rsidRDefault="00000000" w:rsidRPr="00000000" w14:paraId="00000034">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At Deltalyfe, we are committed to fostering a culture of positivity, collaboration, and innovation. Our team of dedicated professionals is passionate about driving impactful change and delivering tangible results for our clients.</w:t>
      </w:r>
    </w:p>
    <w:p w:rsidR="00000000" w:rsidDel="00000000" w:rsidP="00000000" w:rsidRDefault="00000000" w:rsidRPr="00000000" w14:paraId="00000035">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36">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Client-Centric Solutions</w:t>
      </w:r>
    </w:p>
    <w:p w:rsidR="00000000" w:rsidDel="00000000" w:rsidP="00000000" w:rsidRDefault="00000000" w:rsidRPr="00000000" w14:paraId="00000037">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We understand that every business is unique. Our client-centric approach ensures that our solutions are tailored to your specific needs, enabling you to achieve sustainable growth and long-term success.</w:t>
      </w:r>
    </w:p>
    <w:p w:rsidR="00000000" w:rsidDel="00000000" w:rsidP="00000000" w:rsidRDefault="00000000" w:rsidRPr="00000000" w14:paraId="00000038">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39">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Get in Touch</w:t>
      </w:r>
    </w:p>
    <w:p w:rsidR="00000000" w:rsidDel="00000000" w:rsidP="00000000" w:rsidRDefault="00000000" w:rsidRPr="00000000" w14:paraId="0000003A">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Ready to embark on a transformative journey? Contact us today to explore how our comprehensive consulting services can elevate your business to new heights. </w:t>
      </w:r>
    </w:p>
    <w:p w:rsidR="00000000" w:rsidDel="00000000" w:rsidP="00000000" w:rsidRDefault="00000000" w:rsidRPr="00000000" w14:paraId="0000003B">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3C">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Show something like the following graphic for “tangled processes” and then add image of people beside or on top of the process diagram and then show people working together to create an aligned streamlined output (the goal is to depict people + Processes + TEchnology = Innovative solutions and increased EBITDA </w:t>
      </w:r>
    </w:p>
    <w:p w:rsidR="00000000" w:rsidDel="00000000" w:rsidP="00000000" w:rsidRDefault="00000000" w:rsidRPr="00000000" w14:paraId="0000003D">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3E">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Pr>
        <w:drawing>
          <wp:inline distB="114300" distT="114300" distL="114300" distR="114300">
            <wp:extent cx="5943600" cy="20320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032000"/>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rFonts w:ascii="Roboto" w:cs="Roboto" w:eastAsia="Roboto" w:hAnsi="Roboto"/>
          <w:color w:val="13343b"/>
          <w:sz w:val="24"/>
          <w:szCs w:val="24"/>
          <w:shd w:fill="fcfcf9" w:val="clear"/>
        </w:rPr>
      </w:pPr>
      <w:r w:rsidDel="00000000" w:rsidR="00000000" w:rsidRPr="00000000">
        <w:rPr>
          <w:rtl w:val="0"/>
        </w:rPr>
      </w:r>
    </w:p>
    <w:p w:rsidR="00000000" w:rsidDel="00000000" w:rsidP="00000000" w:rsidRDefault="00000000" w:rsidRPr="00000000" w14:paraId="00000040">
      <w:pPr>
        <w:rPr>
          <w:rFonts w:ascii="Roboto" w:cs="Roboto" w:eastAsia="Roboto" w:hAnsi="Roboto"/>
          <w:color w:val="13343b"/>
          <w:sz w:val="24"/>
          <w:szCs w:val="24"/>
          <w:shd w:fill="fcfcf9" w:val="clear"/>
        </w:rPr>
      </w:pPr>
      <w:r w:rsidDel="00000000" w:rsidR="00000000" w:rsidRPr="00000000">
        <w:rPr>
          <w:rFonts w:ascii="Roboto" w:cs="Roboto" w:eastAsia="Roboto" w:hAnsi="Roboto"/>
          <w:color w:val="13343b"/>
          <w:sz w:val="24"/>
          <w:szCs w:val="24"/>
          <w:shd w:fill="fcfcf9" w:val="clear"/>
          <w:rtl w:val="0"/>
        </w:rPr>
        <w:t xml:space="preserve">Alternatively, you could show a maze filled with people, process images, and technology with the tagline “which path should I choose” or “Move from where you are to where you desire to be – Revealing new possibilities”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Roboto" w:cs="Roboto" w:eastAsia="Roboto" w:hAnsi="Roboto"/>
        <w:color w:val="13343b"/>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Roboto" w:cs="Roboto" w:eastAsia="Roboto" w:hAnsi="Roboto"/>
        <w:color w:val="13343b"/>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Roboto" w:cs="Roboto" w:eastAsia="Roboto" w:hAnsi="Roboto"/>
        <w:color w:val="13343b"/>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