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rPr>
          <w:outline w:val="0"/>
          <w:color w:val="ee220c"/>
          <w:u w:color="ee220c"/>
          <w14:textFill>
            <w14:solidFill>
              <w14:srgbClr w14:val="EE220C"/>
            </w14:solidFill>
          </w14:textFill>
        </w:rPr>
      </w:pPr>
      <w:r>
        <w:rPr>
          <w:outline w:val="0"/>
          <w:color w:val="ee220c"/>
          <w:u w:color="ee220c"/>
          <w:rtl w:val="0"/>
          <w:lang w:val="en-US"/>
          <w14:textFill>
            <w14:solidFill>
              <w14:srgbClr w14:val="EE220C"/>
            </w14:solidFill>
          </w14:textFill>
        </w:rPr>
        <w:t>Front</w:t>
      </w:r>
    </w:p>
    <w:p>
      <w:pPr>
        <w:pStyle w:val="Body A"/>
      </w:pPr>
    </w:p>
    <w:p>
      <w:pPr>
        <w:pStyle w:val="Body A"/>
      </w:pPr>
      <w:r>
        <w:rPr>
          <w:rtl w:val="0"/>
          <w:lang w:val="en-US"/>
        </w:rPr>
        <w:t>Remote access software can be invaluable for small businesses. Yet the threat of network exposure is very real.</w:t>
      </w:r>
    </w:p>
    <w:p>
      <w:pPr>
        <w:pStyle w:val="Body A"/>
      </w:pPr>
    </w:p>
    <w:p>
      <w:pPr>
        <w:pStyle w:val="Body A"/>
        <w:rPr>
          <w:b w:val="1"/>
          <w:bCs w:val="1"/>
        </w:rPr>
      </w:pPr>
      <w:r>
        <w:rPr>
          <w:rtl w:val="0"/>
          <w:lang w:val="en-US"/>
        </w:rPr>
        <w:t>You don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 xml:space="preserve">t have to choose between convenience and security </w:t>
      </w:r>
      <w:r>
        <w:rPr>
          <w:rtl w:val="0"/>
          <w:lang w:val="en-US"/>
        </w:rPr>
        <w:t xml:space="preserve">— </w:t>
      </w:r>
      <w:r>
        <w:rPr>
          <w:rtl w:val="0"/>
          <w:lang w:val="en-US"/>
        </w:rPr>
        <w:t>enjoy both with Gatekeeper.</w:t>
      </w:r>
    </w:p>
    <w:p>
      <w:pPr>
        <w:pStyle w:val="Body A"/>
      </w:pPr>
    </w:p>
    <w:p>
      <w:pPr>
        <w:pStyle w:val="Body A"/>
      </w:pPr>
    </w:p>
    <w:p>
      <w:pPr>
        <w:pStyle w:val="Body A"/>
        <w:rPr>
          <w:outline w:val="0"/>
          <w:color w:val="ee220c"/>
          <w:u w:color="ee220c"/>
          <w14:textFill>
            <w14:solidFill>
              <w14:srgbClr w14:val="EE220C"/>
            </w14:solidFill>
          </w14:textFill>
        </w:rPr>
      </w:pPr>
    </w:p>
    <w:p>
      <w:pPr>
        <w:pStyle w:val="Body A"/>
        <w:rPr>
          <w:outline w:val="0"/>
          <w:color w:val="ee220c"/>
          <w:u w:color="ee220c"/>
          <w14:textFill>
            <w14:solidFill>
              <w14:srgbClr w14:val="EE220C"/>
            </w14:solidFill>
          </w14:textFill>
        </w:rPr>
      </w:pPr>
    </w:p>
    <w:p>
      <w:pPr>
        <w:pStyle w:val="Body A"/>
        <w:rPr>
          <w:outline w:val="0"/>
          <w:color w:val="ee220c"/>
          <w:u w:color="ee220c"/>
          <w14:textFill>
            <w14:solidFill>
              <w14:srgbClr w14:val="EE220C"/>
            </w14:solidFill>
          </w14:textFill>
        </w:rPr>
      </w:pPr>
    </w:p>
    <w:p>
      <w:pPr>
        <w:pStyle w:val="Body A"/>
        <w:rPr>
          <w:outline w:val="0"/>
          <w:color w:val="ee220c"/>
          <w:u w:color="ee220c"/>
          <w14:textFill>
            <w14:solidFill>
              <w14:srgbClr w14:val="EE220C"/>
            </w14:solidFill>
          </w14:textFill>
        </w:rPr>
      </w:pPr>
    </w:p>
    <w:p>
      <w:pPr>
        <w:pStyle w:val="Body A"/>
        <w:rPr>
          <w:outline w:val="0"/>
          <w:color w:val="ee220c"/>
          <w:u w:color="ee220c"/>
          <w14:textFill>
            <w14:solidFill>
              <w14:srgbClr w14:val="EE220C"/>
            </w14:solidFill>
          </w14:textFill>
        </w:rPr>
      </w:pPr>
      <w:r>
        <w:rPr>
          <w:outline w:val="0"/>
          <w:color w:val="ee220c"/>
          <w:u w:color="ee220c"/>
          <w:rtl w:val="0"/>
          <w:lang w:val="en-US"/>
          <w14:textFill>
            <w14:solidFill>
              <w14:srgbClr w14:val="EE220C"/>
            </w14:solidFill>
          </w14:textFill>
        </w:rPr>
        <w:t>Back</w:t>
      </w:r>
    </w:p>
    <w:p>
      <w:pPr>
        <w:pStyle w:val="Heading 2"/>
      </w:pPr>
    </w:p>
    <w:p>
      <w:pPr>
        <w:pStyle w:val="Title"/>
        <w:rPr>
          <w:rFonts w:ascii="Times Roman" w:cs="Times Roman" w:hAnsi="Times Roman" w:eastAsia="Times Roman"/>
          <w:b w:val="0"/>
          <w:bCs w:val="0"/>
          <w:sz w:val="24"/>
          <w:szCs w:val="24"/>
        </w:rPr>
      </w:pPr>
      <w:r>
        <w:rPr>
          <w:rtl w:val="0"/>
          <w:lang w:val="en-US"/>
        </w:rPr>
        <w:t xml:space="preserve">Security and Convenience </w:t>
      </w:r>
      <w:r>
        <w:rPr>
          <w:rtl w:val="0"/>
          <w:lang w:val="en-US"/>
        </w:rPr>
        <w:t xml:space="preserve">— </w:t>
      </w:r>
      <w:r>
        <w:rPr>
          <w:rtl w:val="0"/>
          <w:lang w:val="en-US"/>
        </w:rPr>
        <w:t xml:space="preserve">Simple with Gatekeeper </w:t>
      </w:r>
    </w:p>
    <w:p>
      <w:pPr>
        <w:pStyle w:val="Body A"/>
        <w:rPr>
          <w:rFonts w:ascii="Times Roman" w:cs="Times Roman" w:hAnsi="Times Roman" w:eastAsia="Times Roman"/>
        </w:rPr>
      </w:pPr>
    </w:p>
    <w:p>
      <w:pPr>
        <w:pStyle w:val="Body A"/>
      </w:pPr>
      <w:r>
        <w:rPr>
          <w:rtl w:val="0"/>
          <w:lang w:val="en-US"/>
        </w:rPr>
        <w:t>You need a convenient, affordable, and reliable</w:t>
      </w:r>
      <w:r>
        <w:rPr>
          <w:rtl w:val="0"/>
          <w:lang w:val="en-US"/>
        </w:rPr>
        <w:t xml:space="preserve"> solution.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 xml:space="preserve">Adopt Zero Trust Network Access to secure 2FA </w:t>
      </w:r>
      <w:r>
        <w:rPr>
          <w:rtl w:val="0"/>
          <w:lang w:val="en-US"/>
        </w:rPr>
        <w:t xml:space="preserve">solution to secure </w:t>
      </w:r>
      <w:r>
        <w:rPr>
          <w:rtl w:val="0"/>
          <w:lang w:val="en-US"/>
        </w:rPr>
        <w:t>RDP, SSH and more!</w:t>
      </w:r>
    </w:p>
    <w:p>
      <w:pPr>
        <w:pStyle w:val="Body A"/>
      </w:pPr>
    </w:p>
    <w:p>
      <w:pPr>
        <w:pStyle w:val="Body A"/>
      </w:pPr>
      <w:r>
        <w:rPr>
          <w:rtl w:val="0"/>
          <w:lang w:val="nl-NL"/>
        </w:rPr>
        <w:t>Gatekeeper</w:t>
      </w:r>
      <w:r>
        <w:rPr>
          <w:rtl w:val="0"/>
          <w:lang w:val="en-US"/>
        </w:rPr>
        <w:t>, a feature of Calyptix</w:t>
      </w:r>
      <w:r>
        <w:rPr>
          <w:rFonts w:ascii="Arial Unicode MS" w:hAnsi="Arial Unicode MS" w:hint="default"/>
          <w:rtl w:val="0"/>
          <w:lang w:val="en-US"/>
        </w:rPr>
        <w:t>’</w:t>
      </w:r>
      <w:r>
        <w:rPr>
          <w:rtl w:val="0"/>
          <w:lang w:val="en-US"/>
        </w:rPr>
        <w:t>s AccessEnforcer v5.0 and later, shields systems from the public Internet, unauthorized users, stolen credentials, probes, scans, botnets, brute force, targeted attacks and more.</w:t>
      </w:r>
    </w:p>
    <w:p>
      <w:pPr>
        <w:pStyle w:val="Body A"/>
      </w:pPr>
    </w:p>
    <w:p>
      <w:pPr>
        <w:pStyle w:val="Heading 2"/>
      </w:pPr>
      <w:r>
        <w:rPr>
          <w:rFonts w:cs="Arial Unicode MS" w:eastAsia="Arial Unicode MS"/>
          <w:rtl w:val="0"/>
          <w:lang w:val="en-US"/>
        </w:rPr>
        <w:t>Gatekeeper Benefit</w:t>
      </w:r>
      <w:r>
        <w:rPr>
          <w:rFonts w:cs="Arial Unicode MS" w:eastAsia="Arial Unicode MS"/>
          <w:rtl w:val="0"/>
          <w:lang w:val="en-US"/>
        </w:rPr>
        <w:t>s</w:t>
      </w:r>
    </w:p>
    <w:p>
      <w:pPr>
        <w:pStyle w:val="Body"/>
        <w:numPr>
          <w:ilvl w:val="0"/>
          <w:numId w:val="2"/>
        </w:numPr>
      </w:pPr>
      <w:r>
        <w:rPr>
          <w:rtl w:val="0"/>
        </w:rPr>
        <w:t xml:space="preserve">Client-less </w:t>
      </w:r>
    </w:p>
    <w:p>
      <w:pPr>
        <w:pStyle w:val="Body"/>
        <w:numPr>
          <w:ilvl w:val="0"/>
          <w:numId w:val="2"/>
        </w:numPr>
      </w:pPr>
      <w:r>
        <w:rPr>
          <w:rtl w:val="0"/>
        </w:rPr>
        <w:t>No VPN overhead</w:t>
      </w:r>
    </w:p>
    <w:p>
      <w:pPr>
        <w:pStyle w:val="Body"/>
        <w:numPr>
          <w:ilvl w:val="0"/>
          <w:numId w:val="2"/>
        </w:numPr>
      </w:pPr>
      <w:r>
        <w:rPr>
          <w:rtl w:val="0"/>
        </w:rPr>
        <w:t xml:space="preserve">Auditor-friendly </w:t>
      </w:r>
    </w:p>
    <w:p>
      <w:pPr>
        <w:pStyle w:val="Body"/>
        <w:numPr>
          <w:ilvl w:val="0"/>
          <w:numId w:val="2"/>
        </w:numPr>
      </w:pPr>
      <w:r>
        <w:rPr>
          <w:rtl w:val="0"/>
        </w:rPr>
        <w:t xml:space="preserve">Single page listing of hosts user can access </w:t>
      </w:r>
    </w:p>
    <w:p>
      <w:pPr>
        <w:pStyle w:val="Body"/>
        <w:numPr>
          <w:ilvl w:val="0"/>
          <w:numId w:val="2"/>
        </w:numPr>
      </w:pPr>
      <w:r>
        <w:rPr>
          <w:rtl w:val="0"/>
        </w:rPr>
        <w:t>Works with Windows, iOS, Android &amp; more</w:t>
      </w:r>
      <w:r>
        <w:br w:type="textWrapping"/>
      </w:r>
    </w:p>
    <w:p>
      <w:pPr>
        <w:pStyle w:val="Body A"/>
      </w:pPr>
      <w:r>
        <w:rPr>
          <w:rtl w:val="0"/>
          <w:lang w:val="en-US"/>
        </w:rPr>
        <w:t>Gatekeeper addresses compliance requirements and facilitates adoption of best practices, including many outlined by NIST 800-53 and NIST 800-171.</w:t>
      </w:r>
    </w:p>
    <w:p>
      <w:pPr>
        <w:pStyle w:val="Body A"/>
        <w:numPr>
          <w:ilvl w:val="0"/>
          <w:numId w:val="4"/>
        </w:numPr>
      </w:pPr>
    </w:p>
    <w:p>
      <w:pPr>
        <w:pStyle w:val="Body A"/>
        <w:numPr>
          <w:ilvl w:val="0"/>
          <w:numId w:val="4"/>
        </w:numPr>
        <w:rPr>
          <w:lang w:val="en-US"/>
        </w:rPr>
      </w:pPr>
      <w:r>
        <w:rPr>
          <w:rtl w:val="0"/>
          <w:lang w:val="en-US"/>
        </w:rPr>
        <w:t xml:space="preserve">Questions about Gatekeeper? Contact us: 704.900.0422 | www.calyptix.com </w:t>
      </w:r>
      <w:r/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  <w:font w:name="Graphi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s"/>
  </w:abstractNum>
  <w:abstractNum w:abstractNumId="1">
    <w:multiLevelType w:val="hybridMultilevel"/>
    <w:styleLink w:val="Bullets"/>
    <w:lvl w:ilvl="0">
      <w:start w:val="1"/>
      <w:numFmt w:val="bullet"/>
      <w:suff w:val="tab"/>
      <w:lvlText w:val="•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Bullet"/>
  </w:abstractNum>
  <w:abstractNum w:abstractNumId="3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541" w:hanging="321"/>
      </w:pPr>
      <w:rPr>
        <w:rFonts w:ascii="Graphik" w:cs="Graphik" w:hAnsi="Graphik" w:eastAsia="Graphik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ffffff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761" w:hanging="321"/>
      </w:pPr>
      <w:rPr>
        <w:rFonts w:ascii="Graphik" w:cs="Graphik" w:hAnsi="Graphik" w:eastAsia="Graphik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ffffff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981" w:hanging="321"/>
      </w:pPr>
      <w:rPr>
        <w:rFonts w:ascii="Graphik" w:cs="Graphik" w:hAnsi="Graphik" w:eastAsia="Graphik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ffffff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201" w:hanging="321"/>
      </w:pPr>
      <w:rPr>
        <w:rFonts w:ascii="Graphik" w:cs="Graphik" w:hAnsi="Graphik" w:eastAsia="Graphik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ffffff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421" w:hanging="321"/>
      </w:pPr>
      <w:rPr>
        <w:rFonts w:ascii="Graphik" w:cs="Graphik" w:hAnsi="Graphik" w:eastAsia="Graphik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ffffff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641" w:hanging="321"/>
      </w:pPr>
      <w:rPr>
        <w:rFonts w:ascii="Graphik" w:cs="Graphik" w:hAnsi="Graphik" w:eastAsia="Graphik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ffffff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861" w:hanging="321"/>
      </w:pPr>
      <w:rPr>
        <w:rFonts w:ascii="Graphik" w:cs="Graphik" w:hAnsi="Graphik" w:eastAsia="Graphik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ffffff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081" w:hanging="321"/>
      </w:pPr>
      <w:rPr>
        <w:rFonts w:ascii="Graphik" w:cs="Graphik" w:hAnsi="Graphik" w:eastAsia="Graphik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ffffff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301" w:hanging="321"/>
      </w:pPr>
      <w:rPr>
        <w:rFonts w:ascii="Graphik" w:cs="Graphik" w:hAnsi="Graphik" w:eastAsia="Graphik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ffffff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Heading 2">
    <w:name w:val="Heading 2"/>
    <w:next w:val="Heading 2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4"/>
      <w:szCs w:val="3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Title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6"/>
      <w:szCs w:val="66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Bullets">
    <w:name w:val="Bullets"/>
    <w:pPr>
      <w:numPr>
        <w:numId w:val="1"/>
      </w:numPr>
    </w:pPr>
  </w:style>
  <w:style w:type="numbering" w:styleId="Bullet">
    <w:name w:val="Bullet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