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DonorWords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Google Ads Grant Management for NonProfits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$10,000 Monthly Google Ads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With $10,000 every month in Google Advertising, what can you do?  Increase awareness, recruit volunteers, increase membership, and share your story with the world!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Google Ads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Position your organization at the top of Google’s search results to communicate your mission to the people who are motivated to help.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Acquiring the Grant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will navigate the Grant application process for you, regardless of the status of any past or suspended accounts.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Configuring the Ad Campaigns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will work with you and your staff to understand your missions and programs.  We use this insight to get your ad in front of all possible constituents.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Continuous Optimization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Your organization is changing, Google is changing, Ad competition is changing.  We stay on top of all of it, constantly tweaking and A/B testing for a changing world.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Compliance Management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Maintaining the Google Ads Grant means playing by Google’s rules.  We monitor your Ads and content to ensure compliance and avoid grant suspension.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Account Manager Access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We’re here every step of the way.  Available via phone and email, your account manager will also meet with you on a monthly call to make sure we understand where your organization is headed.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Dashboard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Check-in on your Ad campaigns anytime with a simple dashboard that provides the insights that you need.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Cancel Any Time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If DonorWords is not providing the value that you expect, cancel.  Your Ads will be available to you to maintain even if you decide not to continue with us.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Getting Started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If you’re interested in more information go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www.DonorWords.com</w:t>
        </w:r>
      </w:hyperlink>
      <w:r w:rsidDel="00000000" w:rsidR="00000000" w:rsidRPr="00000000">
        <w:rPr>
          <w:rtl w:val="0"/>
        </w:rPr>
        <w:t xml:space="preserve"> and click “Upcoming Webinars” to join us for more information.  We will even show you how to acquire and manage the Google Ads Grant yourself if you choose!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Go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www.DonorWords.com</w:t>
        </w:r>
      </w:hyperlink>
      <w:r w:rsidDel="00000000" w:rsidR="00000000" w:rsidRPr="00000000">
        <w:rPr>
          <w:rtl w:val="0"/>
        </w:rPr>
        <w:t xml:space="preserve"> and click “Buy Now” to get started with DonorWords right away.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onorwords.com" TargetMode="External"/><Relationship Id="rId7" Type="http://schemas.openxmlformats.org/officeDocument/2006/relationships/hyperlink" Target="http://www.donorw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