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47A70" w14:textId="765B8F06" w:rsidR="00182D54" w:rsidRPr="00182D54" w:rsidRDefault="00182D54">
      <w:pPr>
        <w:rPr>
          <w:b/>
          <w:bCs/>
          <w:sz w:val="32"/>
          <w:szCs w:val="32"/>
        </w:rPr>
      </w:pPr>
      <w:r w:rsidRPr="00182D54">
        <w:rPr>
          <w:b/>
          <w:bCs/>
          <w:sz w:val="32"/>
          <w:szCs w:val="32"/>
        </w:rPr>
        <w:t>Design Brief</w:t>
      </w:r>
      <w:r w:rsidR="00EF63A4">
        <w:rPr>
          <w:rStyle w:val="FootnoteReference"/>
          <w:b/>
          <w:bCs/>
          <w:sz w:val="32"/>
          <w:szCs w:val="32"/>
        </w:rPr>
        <w:footnoteReference w:id="1"/>
      </w:r>
    </w:p>
    <w:p w14:paraId="32FA9341" w14:textId="49A848A9" w:rsidR="00182D54" w:rsidRDefault="00182D54" w:rsidP="00182D54">
      <w:pPr>
        <w:jc w:val="both"/>
      </w:pPr>
      <w:r w:rsidRPr="00182D54">
        <w:t xml:space="preserve">We need banners that represent each practice - Competition, Energy, Public Policy, Strategy,  Telecoms and Transport &amp; Water for the welcome page of the practice management system </w:t>
      </w:r>
      <w:r w:rsidR="0062030C">
        <w:t>for</w:t>
      </w:r>
      <w:r w:rsidRPr="00182D54">
        <w:t xml:space="preserve"> an economics consultancy based in 7 countries in the European Union.  We are looking for a high impact isometric perspective design in two versions - dark and light theme .  The design should use the organisation's colour palette.  The final design should communicate </w:t>
      </w:r>
      <w:r w:rsidR="0062030C">
        <w:t xml:space="preserve">fun, </w:t>
      </w:r>
      <w:r w:rsidRPr="00182D54">
        <w:t>energy, imagination and flair.</w:t>
      </w:r>
    </w:p>
    <w:p w14:paraId="3D62A28B" w14:textId="77777777" w:rsidR="00182D54" w:rsidRDefault="00182D54" w:rsidP="00182D54">
      <w:pPr>
        <w:pStyle w:val="NoSpacing"/>
      </w:pPr>
    </w:p>
    <w:p w14:paraId="46B4E001" w14:textId="07309995" w:rsidR="00182D54" w:rsidRPr="00182D54" w:rsidRDefault="00182D54" w:rsidP="00182D54">
      <w:pPr>
        <w:jc w:val="both"/>
        <w:rPr>
          <w:b/>
          <w:bCs/>
          <w:sz w:val="28"/>
          <w:szCs w:val="28"/>
        </w:rPr>
      </w:pPr>
      <w:r w:rsidRPr="00182D54">
        <w:rPr>
          <w:b/>
          <w:bCs/>
          <w:sz w:val="28"/>
          <w:szCs w:val="28"/>
        </w:rPr>
        <w:t>Usage</w:t>
      </w:r>
    </w:p>
    <w:p w14:paraId="4AF532F3" w14:textId="080AE3CE" w:rsidR="00182D54" w:rsidRDefault="00182D54" w:rsidP="00182D54">
      <w:pPr>
        <w:jc w:val="both"/>
      </w:pPr>
      <w:r>
        <w:t>The banners will be used in a welcome page similar to figure 1.  The bulk of the image needs to on the right.  The application will paint the 4 rectangular panels on top of the banner and the controls above the first panel on the left.</w:t>
      </w:r>
    </w:p>
    <w:p w14:paraId="24D20950" w14:textId="77777777" w:rsidR="00182D54" w:rsidRDefault="00182D54" w:rsidP="00182D54">
      <w:pPr>
        <w:pStyle w:val="NoSpacing"/>
      </w:pPr>
    </w:p>
    <w:p w14:paraId="2D4E7AB9" w14:textId="7DB5CB92" w:rsidR="00182D54" w:rsidRDefault="00182D54" w:rsidP="00EF63A4">
      <w:pPr>
        <w:jc w:val="center"/>
      </w:pPr>
      <w:r>
        <w:rPr>
          <w:noProof/>
        </w:rPr>
        <w:drawing>
          <wp:inline distT="0" distB="0" distL="0" distR="0" wp14:anchorId="035173F3" wp14:editId="6E60C7E7">
            <wp:extent cx="5731510" cy="1694180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9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FAE7A" w14:textId="4EADE4C3" w:rsidR="00182D54" w:rsidRPr="00182D54" w:rsidRDefault="00182D54" w:rsidP="00182D54">
      <w:pPr>
        <w:jc w:val="center"/>
        <w:rPr>
          <w:rStyle w:val="IntenseEmphasis"/>
        </w:rPr>
      </w:pPr>
      <w:r w:rsidRPr="00182D54">
        <w:rPr>
          <w:rStyle w:val="IntenseEmphasis"/>
        </w:rPr>
        <w:t xml:space="preserve">Figure 1 </w:t>
      </w:r>
      <w:r>
        <w:rPr>
          <w:rStyle w:val="IntenseEmphasis"/>
        </w:rPr>
        <w:t>–</w:t>
      </w:r>
      <w:r w:rsidRPr="00182D54">
        <w:rPr>
          <w:rStyle w:val="IntenseEmphasis"/>
        </w:rPr>
        <w:t xml:space="preserve"> Banner</w:t>
      </w:r>
      <w:r>
        <w:rPr>
          <w:rStyle w:val="IntenseEmphasis"/>
        </w:rPr>
        <w:t xml:space="preserve"> usage</w:t>
      </w:r>
    </w:p>
    <w:p w14:paraId="781CE2AA" w14:textId="77777777" w:rsidR="00182D54" w:rsidRDefault="00182D54" w:rsidP="00182D54">
      <w:pPr>
        <w:pStyle w:val="NoSpacing"/>
      </w:pPr>
    </w:p>
    <w:p w14:paraId="29385020" w14:textId="77777777" w:rsidR="00FF275B" w:rsidRDefault="00FF275B" w:rsidP="00FF275B">
      <w:pPr>
        <w:rPr>
          <w:b/>
          <w:bCs/>
          <w:sz w:val="28"/>
          <w:szCs w:val="28"/>
        </w:rPr>
      </w:pPr>
      <w:r w:rsidRPr="00182D54">
        <w:rPr>
          <w:b/>
          <w:bCs/>
          <w:sz w:val="28"/>
          <w:szCs w:val="28"/>
        </w:rPr>
        <w:t>Sizes and Colour</w:t>
      </w:r>
    </w:p>
    <w:p w14:paraId="4DA654D1" w14:textId="77777777" w:rsidR="00FF275B" w:rsidRDefault="00FF275B" w:rsidP="00FF275B">
      <w:pPr>
        <w:pStyle w:val="NoSpacing"/>
      </w:pPr>
      <w:r>
        <w:t xml:space="preserve">The dark theme uses </w:t>
      </w:r>
      <w:r w:rsidRPr="00182D54">
        <w:t>28,30,35</w:t>
      </w:r>
      <w:r>
        <w:t xml:space="preserve"> and the light theme has a white background.  </w:t>
      </w:r>
    </w:p>
    <w:p w14:paraId="79675609" w14:textId="77777777" w:rsidR="00FF275B" w:rsidRDefault="00FF275B" w:rsidP="00FF275B">
      <w:pPr>
        <w:pStyle w:val="NoSpacing"/>
      </w:pPr>
    </w:p>
    <w:p w14:paraId="70669D1C" w14:textId="0110B7C9" w:rsidR="00FF275B" w:rsidRDefault="00FF275B" w:rsidP="00FF275B">
      <w:pPr>
        <w:pStyle w:val="NoSpacing"/>
      </w:pPr>
      <w:r>
        <w:t>The organisation’s colour palette has been uploaded as a separate document.</w:t>
      </w:r>
    </w:p>
    <w:p w14:paraId="2BA631EF" w14:textId="77777777" w:rsidR="00FF275B" w:rsidRDefault="00FF275B" w:rsidP="00FF275B">
      <w:pPr>
        <w:pStyle w:val="NoSpacing"/>
      </w:pPr>
    </w:p>
    <w:p w14:paraId="21D673EB" w14:textId="77777777" w:rsidR="00FF275B" w:rsidRDefault="00FF275B" w:rsidP="00FF275B">
      <w:pPr>
        <w:pStyle w:val="NoSpacing"/>
      </w:pPr>
      <w:r>
        <w:t>The banners should be 2560x600 pixels with the graphic elements shifted toward the right to leave a space on the left for application controls.</w:t>
      </w:r>
    </w:p>
    <w:p w14:paraId="009C8FAA" w14:textId="77777777" w:rsidR="00FF275B" w:rsidRDefault="00FF275B">
      <w:pPr>
        <w:rPr>
          <w:b/>
          <w:bCs/>
          <w:sz w:val="28"/>
          <w:szCs w:val="28"/>
        </w:rPr>
        <w:sectPr w:rsidR="00FF275B" w:rsidSect="00182D54">
          <w:pgSz w:w="11906" w:h="16838"/>
          <w:pgMar w:top="851" w:right="1077" w:bottom="1440" w:left="1077" w:header="709" w:footer="709" w:gutter="0"/>
          <w:cols w:space="708"/>
          <w:docGrid w:linePitch="360"/>
        </w:sectPr>
      </w:pPr>
    </w:p>
    <w:p w14:paraId="1651C6D7" w14:textId="070FB4ED" w:rsidR="00182D54" w:rsidRPr="00182D54" w:rsidRDefault="00182D54">
      <w:pPr>
        <w:rPr>
          <w:b/>
          <w:bCs/>
          <w:sz w:val="28"/>
          <w:szCs w:val="28"/>
        </w:rPr>
      </w:pPr>
      <w:r w:rsidRPr="00182D54">
        <w:rPr>
          <w:b/>
          <w:bCs/>
          <w:sz w:val="28"/>
          <w:szCs w:val="28"/>
        </w:rPr>
        <w:lastRenderedPageBreak/>
        <w:t>Isometric Perspective</w:t>
      </w:r>
    </w:p>
    <w:p w14:paraId="39A2A60C" w14:textId="77777777" w:rsidR="00182D54" w:rsidRDefault="00182D54">
      <w:r>
        <w:t xml:space="preserve">We are looking a design in isometric perspective as illustrate by figure 2.  In particular, each banner should incorporate a square similar to the one in the middle of the image with the charts.  </w:t>
      </w:r>
    </w:p>
    <w:p w14:paraId="286F8601" w14:textId="7C577CF2" w:rsidR="00182D54" w:rsidRDefault="00182D54" w:rsidP="00182D54">
      <w:pPr>
        <w:jc w:val="both"/>
      </w:pPr>
      <w:r>
        <w:t>Each square should be unique to each practice – Competition, Energy, Public Policy, Strategy, Telecoms and Transport &amp; Water. Two additional banners are required for internal teams: Finance and Business Management Team.</w:t>
      </w:r>
    </w:p>
    <w:p w14:paraId="43614121" w14:textId="0A6E4917" w:rsidR="003A4F1F" w:rsidRDefault="003A4F1F" w:rsidP="00182D54">
      <w:pPr>
        <w:jc w:val="both"/>
      </w:pPr>
      <w:r>
        <w:t>With the exception of the squares for each practice the other elements can be the same for all banners.</w:t>
      </w:r>
    </w:p>
    <w:p w14:paraId="58F5B43F" w14:textId="77777777" w:rsidR="00182D54" w:rsidRDefault="00182D54" w:rsidP="00182D54">
      <w:pPr>
        <w:pStyle w:val="NoSpacing"/>
      </w:pPr>
    </w:p>
    <w:p w14:paraId="4DE25E96" w14:textId="005382BA" w:rsidR="00182D54" w:rsidRDefault="00182D54" w:rsidP="00182D54">
      <w:pPr>
        <w:jc w:val="center"/>
      </w:pPr>
      <w:r>
        <w:rPr>
          <w:noProof/>
        </w:rPr>
        <w:drawing>
          <wp:inline distT="0" distB="0" distL="0" distR="0" wp14:anchorId="1ECAD212" wp14:editId="14CD523A">
            <wp:extent cx="5731510" cy="2077720"/>
            <wp:effectExtent l="0" t="0" r="2540" b="0"/>
            <wp:docPr id="1" name="Picture 1" descr="cid:image001.png@01D63E71.B0B00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63E71.B0B0030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7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4793C" w14:textId="1C5C0BB9" w:rsidR="006E695F" w:rsidRPr="00182D54" w:rsidRDefault="006E695F" w:rsidP="006E695F">
      <w:pPr>
        <w:jc w:val="center"/>
        <w:rPr>
          <w:rStyle w:val="IntenseEmphasis"/>
        </w:rPr>
      </w:pPr>
      <w:r w:rsidRPr="00182D54">
        <w:rPr>
          <w:rStyle w:val="IntenseEmphasis"/>
        </w:rPr>
        <w:t xml:space="preserve">Figure </w:t>
      </w:r>
      <w:r>
        <w:rPr>
          <w:rStyle w:val="IntenseEmphasis"/>
        </w:rPr>
        <w:t>2</w:t>
      </w:r>
      <w:r w:rsidRPr="00182D54">
        <w:rPr>
          <w:rStyle w:val="IntenseEmphasis"/>
        </w:rPr>
        <w:t xml:space="preserve"> </w:t>
      </w:r>
      <w:r>
        <w:rPr>
          <w:rStyle w:val="IntenseEmphasis"/>
        </w:rPr>
        <w:t>–</w:t>
      </w:r>
      <w:r w:rsidRPr="00182D54">
        <w:rPr>
          <w:rStyle w:val="IntenseEmphasis"/>
        </w:rPr>
        <w:t xml:space="preserve"> </w:t>
      </w:r>
      <w:r>
        <w:rPr>
          <w:rStyle w:val="IntenseEmphasis"/>
        </w:rPr>
        <w:t>Isometric perspective</w:t>
      </w:r>
    </w:p>
    <w:p w14:paraId="78FD10CF" w14:textId="1F7AC538" w:rsidR="006E695F" w:rsidRDefault="006E695F" w:rsidP="00182D54">
      <w:pPr>
        <w:pStyle w:val="NoSpacing"/>
      </w:pPr>
    </w:p>
    <w:p w14:paraId="12DAD5CF" w14:textId="04DF18FC" w:rsidR="00FF275B" w:rsidRDefault="00FF275B" w:rsidP="00FF275B">
      <w:r>
        <w:t>Using  figure 2 as an example, the successful design would incorporate the following ideas.</w:t>
      </w:r>
    </w:p>
    <w:p w14:paraId="4845C1F4" w14:textId="77777777" w:rsidR="00FF275B" w:rsidRDefault="00FF275B" w:rsidP="00FF275B">
      <w:pPr>
        <w:pStyle w:val="NoSpacing"/>
      </w:pPr>
    </w:p>
    <w:p w14:paraId="372E763F" w14:textId="4CDEBAA3" w:rsidR="00FF275B" w:rsidRDefault="00FF275B" w:rsidP="00FF275B">
      <w:pPr>
        <w:pStyle w:val="NoSpacing"/>
        <w:numPr>
          <w:ilvl w:val="0"/>
          <w:numId w:val="2"/>
        </w:numPr>
      </w:pPr>
      <w:r>
        <w:t>Workplace desk, with a monitor, keyboard and space for objects to reflect each of the practices/teams at the organisation.</w:t>
      </w:r>
    </w:p>
    <w:p w14:paraId="17AADE3A" w14:textId="77777777" w:rsidR="00FF275B" w:rsidRDefault="00FF275B" w:rsidP="00FF275B">
      <w:pPr>
        <w:pStyle w:val="NoSpacing"/>
        <w:ind w:left="720"/>
      </w:pPr>
    </w:p>
    <w:p w14:paraId="0C7B291B" w14:textId="111C16D6" w:rsidR="00FF275B" w:rsidRDefault="00FF275B" w:rsidP="00FF275B">
      <w:pPr>
        <w:pStyle w:val="NoSpacing"/>
        <w:numPr>
          <w:ilvl w:val="0"/>
          <w:numId w:val="2"/>
        </w:numPr>
      </w:pPr>
      <w:r>
        <w:t>Dark theme should be the desk scene at night, utilising the dark theme colours. Because it’ll be at night, the monitor screen could have a soft glow to it.</w:t>
      </w:r>
    </w:p>
    <w:p w14:paraId="7DA4D951" w14:textId="77777777" w:rsidR="00FF275B" w:rsidRDefault="00FF275B" w:rsidP="00FF275B">
      <w:pPr>
        <w:pStyle w:val="NoSpacing"/>
      </w:pPr>
    </w:p>
    <w:p w14:paraId="57041761" w14:textId="77777777" w:rsidR="00FF275B" w:rsidRDefault="00FF275B" w:rsidP="00FF275B">
      <w:pPr>
        <w:pStyle w:val="NoSpacing"/>
        <w:numPr>
          <w:ilvl w:val="0"/>
          <w:numId w:val="2"/>
        </w:numPr>
      </w:pPr>
      <w:r>
        <w:t>Monitor/keyboard on the righthand side of the banner, practice/team specific space more central, more open area on the left for buttons that will be overlaid within the app.</w:t>
      </w:r>
    </w:p>
    <w:p w14:paraId="6BE49898" w14:textId="723E31A9" w:rsidR="00FF275B" w:rsidRDefault="00FF275B" w:rsidP="00FF275B">
      <w:pPr>
        <w:pStyle w:val="NoSpacing"/>
      </w:pPr>
      <w:r>
        <w:t xml:space="preserve"> </w:t>
      </w:r>
    </w:p>
    <w:p w14:paraId="3BBEEA5E" w14:textId="07753974" w:rsidR="00FF275B" w:rsidRDefault="00FF275B" w:rsidP="00FF275B">
      <w:pPr>
        <w:pStyle w:val="NoSpacing"/>
        <w:numPr>
          <w:ilvl w:val="0"/>
          <w:numId w:val="2"/>
        </w:numPr>
      </w:pPr>
      <w:r>
        <w:t>Organisation logo on the monitor that we will be able to change to match the swish to ‘seasonal’ colours. Best solution is probably to have a version of the banner with the logo and one without.</w:t>
      </w:r>
    </w:p>
    <w:p w14:paraId="3729DDA6" w14:textId="77777777" w:rsidR="00FF275B" w:rsidRDefault="00FF275B" w:rsidP="00FF275B">
      <w:pPr>
        <w:pStyle w:val="NoSpacing"/>
      </w:pPr>
    </w:p>
    <w:p w14:paraId="2631E866" w14:textId="462F1E00" w:rsidR="00FF275B" w:rsidRDefault="00FF275B" w:rsidP="00FF275B">
      <w:pPr>
        <w:pStyle w:val="NoSpacing"/>
        <w:numPr>
          <w:ilvl w:val="0"/>
          <w:numId w:val="2"/>
        </w:numPr>
      </w:pPr>
      <w:r>
        <w:t>Objects should have block colours, similar to the SQL example. Objects can have more than one colour, like the charts, but colours should stay block – no gradients or patterns.</w:t>
      </w:r>
    </w:p>
    <w:p w14:paraId="3E3B3430" w14:textId="77777777" w:rsidR="00FF275B" w:rsidRDefault="00FF275B" w:rsidP="00FF275B">
      <w:pPr>
        <w:pStyle w:val="NoSpacing"/>
      </w:pPr>
    </w:p>
    <w:p w14:paraId="63AD5922" w14:textId="1C5363FA" w:rsidR="00FF275B" w:rsidRDefault="00FF275B" w:rsidP="00FF275B">
      <w:pPr>
        <w:pStyle w:val="NoSpacing"/>
        <w:numPr>
          <w:ilvl w:val="0"/>
          <w:numId w:val="2"/>
        </w:numPr>
      </w:pPr>
      <w:r>
        <w:t xml:space="preserve">The desk could have a few items on it, like a pencil holder or cup of coffee so the desk doesn’t look too bare and ‘corporate’ as organisation’s culture is young, fun and modern. </w:t>
      </w:r>
    </w:p>
    <w:p w14:paraId="54435BAA" w14:textId="31814BCD" w:rsidR="00FF275B" w:rsidRDefault="00FF275B" w:rsidP="00FF275B">
      <w:pPr>
        <w:sectPr w:rsidR="00FF275B" w:rsidSect="00182D54">
          <w:pgSz w:w="11906" w:h="16838"/>
          <w:pgMar w:top="851" w:right="1077" w:bottom="1440" w:left="1077" w:header="709" w:footer="709" w:gutter="0"/>
          <w:cols w:space="708"/>
          <w:docGrid w:linePitch="360"/>
        </w:sectPr>
      </w:pPr>
    </w:p>
    <w:p w14:paraId="48139CB4" w14:textId="0C5C8412" w:rsidR="006E695F" w:rsidRDefault="006E695F" w:rsidP="00182D54">
      <w:pPr>
        <w:pStyle w:val="NoSpacing"/>
        <w:rPr>
          <w:b/>
          <w:bCs/>
          <w:sz w:val="28"/>
          <w:szCs w:val="28"/>
        </w:rPr>
      </w:pPr>
      <w:r w:rsidRPr="006E695F">
        <w:rPr>
          <w:b/>
          <w:bCs/>
          <w:sz w:val="28"/>
          <w:szCs w:val="28"/>
        </w:rPr>
        <w:lastRenderedPageBreak/>
        <w:t>Practices</w:t>
      </w:r>
      <w:r w:rsidR="00A3763B">
        <w:rPr>
          <w:b/>
          <w:bCs/>
          <w:sz w:val="28"/>
          <w:szCs w:val="28"/>
        </w:rPr>
        <w:br/>
      </w:r>
    </w:p>
    <w:p w14:paraId="275A4F1A" w14:textId="4C71AA66" w:rsidR="006E695F" w:rsidRDefault="006E695F" w:rsidP="006E695F">
      <w:pPr>
        <w:pStyle w:val="NoSpacing"/>
      </w:pPr>
      <w:r w:rsidRPr="006E695F">
        <w:t>The or</w:t>
      </w:r>
      <w:r>
        <w:t>g</w:t>
      </w:r>
      <w:r w:rsidRPr="006E695F">
        <w:t xml:space="preserve">anisation provides </w:t>
      </w:r>
      <w:r>
        <w:t>economic advice to Fortune 500 clients across six practice area.</w:t>
      </w:r>
      <w:r w:rsidR="00A3763B">
        <w:t xml:space="preserve">  </w:t>
      </w:r>
      <w:r>
        <w:t xml:space="preserve">Each banner should have a square with graphic elements that represent each practice.  </w:t>
      </w:r>
    </w:p>
    <w:p w14:paraId="6B559F25" w14:textId="77777777" w:rsidR="006E695F" w:rsidRDefault="006E695F" w:rsidP="006E695F">
      <w:pPr>
        <w:pStyle w:val="NoSpacing"/>
      </w:pPr>
    </w:p>
    <w:p w14:paraId="5B73CA37" w14:textId="1DFE0062" w:rsidR="006E695F" w:rsidRDefault="006E695F" w:rsidP="006E695F">
      <w:pPr>
        <w:pStyle w:val="NoSpacing"/>
      </w:pPr>
      <w:r>
        <w:t>Without being prescriptive, we have provided some keywords that you might find helpful in identifying appropriate graphic elements.</w:t>
      </w:r>
    </w:p>
    <w:p w14:paraId="34616CBE" w14:textId="18959742" w:rsidR="006E695F" w:rsidRDefault="006E695F" w:rsidP="006E695F">
      <w:pPr>
        <w:pStyle w:val="NoSpacing"/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053"/>
      </w:tblGrid>
      <w:tr w:rsidR="006E695F" w14:paraId="02DB3603" w14:textId="77777777" w:rsidTr="00A3763B">
        <w:tc>
          <w:tcPr>
            <w:tcW w:w="2689" w:type="dxa"/>
          </w:tcPr>
          <w:p w14:paraId="69934F03" w14:textId="722A3AAE" w:rsidR="006E695F" w:rsidRDefault="006E695F" w:rsidP="006E695F">
            <w:pPr>
              <w:pStyle w:val="NoSpacing"/>
            </w:pPr>
            <w:r>
              <w:t>Competition</w:t>
            </w:r>
          </w:p>
        </w:tc>
        <w:tc>
          <w:tcPr>
            <w:tcW w:w="7053" w:type="dxa"/>
          </w:tcPr>
          <w:p w14:paraId="534B17C1" w14:textId="17D23DBD" w:rsidR="006E695F" w:rsidRDefault="00A3763B" w:rsidP="006E695F">
            <w:pPr>
              <w:pStyle w:val="NoSpacing"/>
            </w:pPr>
            <w:r>
              <w:t>Buildings, factory, court house, litigation, regulation</w:t>
            </w:r>
          </w:p>
        </w:tc>
      </w:tr>
      <w:tr w:rsidR="006E695F" w14:paraId="4E13A058" w14:textId="77777777" w:rsidTr="00A3763B">
        <w:tc>
          <w:tcPr>
            <w:tcW w:w="2689" w:type="dxa"/>
          </w:tcPr>
          <w:p w14:paraId="2EB3BDF9" w14:textId="4076CF20" w:rsidR="006E695F" w:rsidRDefault="00A3763B" w:rsidP="006E695F">
            <w:pPr>
              <w:pStyle w:val="NoSpacing"/>
            </w:pPr>
            <w:r>
              <w:t>Energy</w:t>
            </w:r>
          </w:p>
        </w:tc>
        <w:tc>
          <w:tcPr>
            <w:tcW w:w="7053" w:type="dxa"/>
          </w:tcPr>
          <w:p w14:paraId="408BCBBB" w14:textId="5D625F9A" w:rsidR="006E695F" w:rsidRDefault="00A3763B" w:rsidP="006E695F">
            <w:pPr>
              <w:pStyle w:val="NoSpacing"/>
            </w:pPr>
            <w:r>
              <w:t>Power plant, wind turbine, solar panel, clean energy</w:t>
            </w:r>
          </w:p>
        </w:tc>
      </w:tr>
      <w:tr w:rsidR="006E695F" w14:paraId="1B0E99BA" w14:textId="77777777" w:rsidTr="00A3763B">
        <w:tc>
          <w:tcPr>
            <w:tcW w:w="2689" w:type="dxa"/>
          </w:tcPr>
          <w:p w14:paraId="61FB40E2" w14:textId="2CDBF95D" w:rsidR="006E695F" w:rsidRDefault="00A3763B" w:rsidP="006E695F">
            <w:pPr>
              <w:pStyle w:val="NoSpacing"/>
            </w:pPr>
            <w:r>
              <w:t>Public Policy</w:t>
            </w:r>
          </w:p>
        </w:tc>
        <w:tc>
          <w:tcPr>
            <w:tcW w:w="7053" w:type="dxa"/>
          </w:tcPr>
          <w:p w14:paraId="7EF51409" w14:textId="71FB007E" w:rsidR="006E695F" w:rsidRDefault="00A3763B" w:rsidP="006E695F">
            <w:pPr>
              <w:pStyle w:val="NoSpacing"/>
            </w:pPr>
            <w:r>
              <w:t>Government, city, health care, people</w:t>
            </w:r>
          </w:p>
        </w:tc>
      </w:tr>
      <w:tr w:rsidR="006E695F" w14:paraId="089696B8" w14:textId="77777777" w:rsidTr="00A3763B">
        <w:tc>
          <w:tcPr>
            <w:tcW w:w="2689" w:type="dxa"/>
          </w:tcPr>
          <w:p w14:paraId="1A2C432C" w14:textId="2A6C7088" w:rsidR="006E695F" w:rsidRDefault="00A3763B" w:rsidP="006E695F">
            <w:pPr>
              <w:pStyle w:val="NoSpacing"/>
            </w:pPr>
            <w:r>
              <w:t>Strategy</w:t>
            </w:r>
          </w:p>
        </w:tc>
        <w:tc>
          <w:tcPr>
            <w:tcW w:w="7053" w:type="dxa"/>
          </w:tcPr>
          <w:p w14:paraId="2F19B737" w14:textId="1E538E62" w:rsidR="006E695F" w:rsidRDefault="00A3763B" w:rsidP="006E695F">
            <w:pPr>
              <w:pStyle w:val="NoSpacing"/>
            </w:pPr>
            <w:r>
              <w:t>Puzzle, cogs and gears, target</w:t>
            </w:r>
          </w:p>
        </w:tc>
      </w:tr>
      <w:tr w:rsidR="006E695F" w14:paraId="2A68743F" w14:textId="77777777" w:rsidTr="00A3763B">
        <w:tc>
          <w:tcPr>
            <w:tcW w:w="2689" w:type="dxa"/>
          </w:tcPr>
          <w:p w14:paraId="1420CD3D" w14:textId="285EBE8F" w:rsidR="006E695F" w:rsidRDefault="00A3763B" w:rsidP="006E695F">
            <w:pPr>
              <w:pStyle w:val="NoSpacing"/>
            </w:pPr>
            <w:r>
              <w:t>Telecoms</w:t>
            </w:r>
          </w:p>
        </w:tc>
        <w:tc>
          <w:tcPr>
            <w:tcW w:w="7053" w:type="dxa"/>
          </w:tcPr>
          <w:p w14:paraId="496E6012" w14:textId="095B0D56" w:rsidR="006E695F" w:rsidRDefault="00A3763B" w:rsidP="006E695F">
            <w:pPr>
              <w:pStyle w:val="NoSpacing"/>
            </w:pPr>
            <w:r>
              <w:t>Phone mast, map with connecting arches, satellite, communication</w:t>
            </w:r>
          </w:p>
        </w:tc>
      </w:tr>
      <w:tr w:rsidR="00A3763B" w14:paraId="01905F3C" w14:textId="77777777" w:rsidTr="00A3763B">
        <w:tc>
          <w:tcPr>
            <w:tcW w:w="2689" w:type="dxa"/>
          </w:tcPr>
          <w:p w14:paraId="74A97933" w14:textId="4E291045" w:rsidR="00A3763B" w:rsidRDefault="00A3763B" w:rsidP="006E695F">
            <w:pPr>
              <w:pStyle w:val="NoSpacing"/>
            </w:pPr>
            <w:r>
              <w:t>Transport &amp; Water</w:t>
            </w:r>
          </w:p>
        </w:tc>
        <w:tc>
          <w:tcPr>
            <w:tcW w:w="7053" w:type="dxa"/>
          </w:tcPr>
          <w:p w14:paraId="249BA186" w14:textId="0FFF75E3" w:rsidR="00A3763B" w:rsidRDefault="00A3763B" w:rsidP="006E695F">
            <w:pPr>
              <w:pStyle w:val="NoSpacing"/>
            </w:pPr>
            <w:r>
              <w:t>Plane, train, bus, water droplet</w:t>
            </w:r>
          </w:p>
        </w:tc>
      </w:tr>
      <w:tr w:rsidR="00A3763B" w14:paraId="7FD3F7C9" w14:textId="77777777" w:rsidTr="00A3763B">
        <w:tc>
          <w:tcPr>
            <w:tcW w:w="2689" w:type="dxa"/>
          </w:tcPr>
          <w:p w14:paraId="5D8C5EC6" w14:textId="1DFE68C2" w:rsidR="00A3763B" w:rsidRDefault="00A3763B" w:rsidP="006E695F">
            <w:pPr>
              <w:pStyle w:val="NoSpacing"/>
            </w:pPr>
            <w:r>
              <w:t>BMT</w:t>
            </w:r>
          </w:p>
        </w:tc>
        <w:tc>
          <w:tcPr>
            <w:tcW w:w="7053" w:type="dxa"/>
          </w:tcPr>
          <w:p w14:paraId="6D1CAADE" w14:textId="40B0664E" w:rsidR="00A3763B" w:rsidRDefault="00A3763B" w:rsidP="006E695F">
            <w:pPr>
              <w:pStyle w:val="NoSpacing"/>
            </w:pPr>
            <w:r>
              <w:t>Charts similar to square in figure 2</w:t>
            </w:r>
          </w:p>
        </w:tc>
      </w:tr>
      <w:tr w:rsidR="00A3763B" w14:paraId="2D43FC2F" w14:textId="77777777" w:rsidTr="00A3763B">
        <w:tc>
          <w:tcPr>
            <w:tcW w:w="2689" w:type="dxa"/>
          </w:tcPr>
          <w:p w14:paraId="12B2AFBB" w14:textId="0638F32C" w:rsidR="00A3763B" w:rsidRDefault="00A3763B" w:rsidP="006E695F">
            <w:pPr>
              <w:pStyle w:val="NoSpacing"/>
            </w:pPr>
            <w:r>
              <w:t>Finance</w:t>
            </w:r>
          </w:p>
        </w:tc>
        <w:tc>
          <w:tcPr>
            <w:tcW w:w="7053" w:type="dxa"/>
          </w:tcPr>
          <w:p w14:paraId="6C0C41C4" w14:textId="5BFEF17A" w:rsidR="00A3763B" w:rsidRDefault="00A3763B" w:rsidP="006E695F">
            <w:pPr>
              <w:pStyle w:val="NoSpacing"/>
            </w:pPr>
            <w:r>
              <w:t>People, charts, bank, payroll</w:t>
            </w:r>
          </w:p>
        </w:tc>
      </w:tr>
    </w:tbl>
    <w:p w14:paraId="3DD87779" w14:textId="5E82B97F" w:rsidR="006E695F" w:rsidRDefault="006E695F" w:rsidP="006E695F">
      <w:pPr>
        <w:pStyle w:val="NoSpacing"/>
      </w:pPr>
    </w:p>
    <w:p w14:paraId="40970C0B" w14:textId="5D044E18" w:rsidR="00182D54" w:rsidRDefault="00A3763B" w:rsidP="00FF275B">
      <w:pPr>
        <w:pStyle w:val="NoSpacing"/>
      </w:pPr>
      <w:r>
        <w:t>Figure 3 shows examples of squares with building and phone mast to illustrate the type of design we are looking for.</w:t>
      </w:r>
      <w:r w:rsidR="00FF275B">
        <w:t xml:space="preserve"> These squares are used for illustration. They are very busy and complex – the successful design would simplify these to one or two key elements for each practice.</w:t>
      </w:r>
      <w:r w:rsidR="00FF275B">
        <w:br/>
      </w:r>
      <w:r>
        <w:rPr>
          <w:noProof/>
        </w:rPr>
        <w:drawing>
          <wp:inline distT="0" distB="0" distL="0" distR="0" wp14:anchorId="48FB2452" wp14:editId="6A1CBFCF">
            <wp:extent cx="6096000" cy="44291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5F555" w14:textId="77777777" w:rsidR="00A3763B" w:rsidRDefault="00A3763B" w:rsidP="00182D54">
      <w:pPr>
        <w:pStyle w:val="NoSpacing"/>
      </w:pPr>
    </w:p>
    <w:p w14:paraId="4DF24F05" w14:textId="4E201D57" w:rsidR="00FF275B" w:rsidRPr="00182D54" w:rsidRDefault="00182D54" w:rsidP="00FF275B">
      <w:pPr>
        <w:jc w:val="center"/>
        <w:rPr>
          <w:rStyle w:val="IntenseEmphasis"/>
        </w:rPr>
      </w:pPr>
      <w:r>
        <w:t xml:space="preserve"> </w:t>
      </w:r>
      <w:r w:rsidR="00FF275B" w:rsidRPr="00182D54">
        <w:rPr>
          <w:rStyle w:val="IntenseEmphasis"/>
        </w:rPr>
        <w:t xml:space="preserve">Figure </w:t>
      </w:r>
      <w:r w:rsidR="00FF275B">
        <w:rPr>
          <w:rStyle w:val="IntenseEmphasis"/>
        </w:rPr>
        <w:t>3</w:t>
      </w:r>
      <w:r w:rsidR="00FF275B" w:rsidRPr="00182D54">
        <w:rPr>
          <w:rStyle w:val="IntenseEmphasis"/>
        </w:rPr>
        <w:t xml:space="preserve"> </w:t>
      </w:r>
      <w:r w:rsidR="00FF275B">
        <w:rPr>
          <w:rStyle w:val="IntenseEmphasis"/>
        </w:rPr>
        <w:t>–</w:t>
      </w:r>
      <w:r w:rsidR="00FF275B" w:rsidRPr="00182D54">
        <w:rPr>
          <w:rStyle w:val="IntenseEmphasis"/>
        </w:rPr>
        <w:t xml:space="preserve"> </w:t>
      </w:r>
      <w:r w:rsidR="00FF275B">
        <w:rPr>
          <w:rStyle w:val="IntenseEmphasis"/>
        </w:rPr>
        <w:t>Examples of practice squares</w:t>
      </w:r>
    </w:p>
    <w:p w14:paraId="6B90025F" w14:textId="63CE4C21" w:rsidR="00182D54" w:rsidRPr="00182D54" w:rsidRDefault="00182D54" w:rsidP="00182D54">
      <w:pPr>
        <w:pStyle w:val="NoSpacing"/>
      </w:pPr>
    </w:p>
    <w:sectPr w:rsidR="00182D54" w:rsidRPr="00182D54" w:rsidSect="00182D54">
      <w:pgSz w:w="11906" w:h="16838"/>
      <w:pgMar w:top="851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A8D8D" w14:textId="77777777" w:rsidR="00A64215" w:rsidRDefault="00A64215" w:rsidP="00EF63A4">
      <w:pPr>
        <w:spacing w:after="0" w:line="240" w:lineRule="auto"/>
      </w:pPr>
      <w:r>
        <w:separator/>
      </w:r>
    </w:p>
  </w:endnote>
  <w:endnote w:type="continuationSeparator" w:id="0">
    <w:p w14:paraId="7F4799DF" w14:textId="77777777" w:rsidR="00A64215" w:rsidRDefault="00A64215" w:rsidP="00EF6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EFBDDC" w14:textId="77777777" w:rsidR="00A64215" w:rsidRDefault="00A64215" w:rsidP="00EF63A4">
      <w:pPr>
        <w:spacing w:after="0" w:line="240" w:lineRule="auto"/>
      </w:pPr>
      <w:r>
        <w:separator/>
      </w:r>
    </w:p>
  </w:footnote>
  <w:footnote w:type="continuationSeparator" w:id="0">
    <w:p w14:paraId="0E7B98D3" w14:textId="77777777" w:rsidR="00A64215" w:rsidRDefault="00A64215" w:rsidP="00EF63A4">
      <w:pPr>
        <w:spacing w:after="0" w:line="240" w:lineRule="auto"/>
      </w:pPr>
      <w:r>
        <w:continuationSeparator/>
      </w:r>
    </w:p>
  </w:footnote>
  <w:footnote w:id="1">
    <w:p w14:paraId="318AC920" w14:textId="4B36D6BE" w:rsidR="00EF63A4" w:rsidRDefault="00EF63A4">
      <w:pPr>
        <w:pStyle w:val="FootnoteText"/>
      </w:pPr>
      <w:r>
        <w:rPr>
          <w:rStyle w:val="FootnoteReference"/>
        </w:rPr>
        <w:footnoteRef/>
      </w:r>
      <w:r>
        <w:t xml:space="preserve"> Images used here for illustration are copyrighted by Microsoft Corporation.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A0102D"/>
    <w:multiLevelType w:val="hybridMultilevel"/>
    <w:tmpl w:val="70141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328AC"/>
    <w:multiLevelType w:val="hybridMultilevel"/>
    <w:tmpl w:val="CF4A0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54"/>
    <w:rsid w:val="00007D07"/>
    <w:rsid w:val="000C477C"/>
    <w:rsid w:val="000D4051"/>
    <w:rsid w:val="000F2362"/>
    <w:rsid w:val="000F28E6"/>
    <w:rsid w:val="0018264F"/>
    <w:rsid w:val="00182D54"/>
    <w:rsid w:val="00197569"/>
    <w:rsid w:val="001B203C"/>
    <w:rsid w:val="001B2EA9"/>
    <w:rsid w:val="001C7DF4"/>
    <w:rsid w:val="00212669"/>
    <w:rsid w:val="00233511"/>
    <w:rsid w:val="002B2A94"/>
    <w:rsid w:val="002B522D"/>
    <w:rsid w:val="002F79ED"/>
    <w:rsid w:val="003523B8"/>
    <w:rsid w:val="003826C7"/>
    <w:rsid w:val="003A4F1F"/>
    <w:rsid w:val="00415C33"/>
    <w:rsid w:val="00420C8A"/>
    <w:rsid w:val="004279AB"/>
    <w:rsid w:val="00454ED0"/>
    <w:rsid w:val="00477839"/>
    <w:rsid w:val="00483A1E"/>
    <w:rsid w:val="004A1CC5"/>
    <w:rsid w:val="004F1602"/>
    <w:rsid w:val="00506F74"/>
    <w:rsid w:val="00520022"/>
    <w:rsid w:val="005220E1"/>
    <w:rsid w:val="005230CD"/>
    <w:rsid w:val="005351F5"/>
    <w:rsid w:val="00594A24"/>
    <w:rsid w:val="00596A02"/>
    <w:rsid w:val="0062030C"/>
    <w:rsid w:val="006828D4"/>
    <w:rsid w:val="006E3125"/>
    <w:rsid w:val="006E695F"/>
    <w:rsid w:val="00700416"/>
    <w:rsid w:val="00725B87"/>
    <w:rsid w:val="007708CE"/>
    <w:rsid w:val="0077331F"/>
    <w:rsid w:val="00775390"/>
    <w:rsid w:val="0078649A"/>
    <w:rsid w:val="00790C24"/>
    <w:rsid w:val="007D12D6"/>
    <w:rsid w:val="007D6C92"/>
    <w:rsid w:val="008965B7"/>
    <w:rsid w:val="008B14EF"/>
    <w:rsid w:val="00922D71"/>
    <w:rsid w:val="009622FE"/>
    <w:rsid w:val="00973E8A"/>
    <w:rsid w:val="009F580B"/>
    <w:rsid w:val="00A16BED"/>
    <w:rsid w:val="00A3763B"/>
    <w:rsid w:val="00A64215"/>
    <w:rsid w:val="00A756AB"/>
    <w:rsid w:val="00AA291E"/>
    <w:rsid w:val="00AC1ECC"/>
    <w:rsid w:val="00B27C74"/>
    <w:rsid w:val="00B30983"/>
    <w:rsid w:val="00B74340"/>
    <w:rsid w:val="00BC070E"/>
    <w:rsid w:val="00C0070C"/>
    <w:rsid w:val="00C41034"/>
    <w:rsid w:val="00C45BF7"/>
    <w:rsid w:val="00C618C4"/>
    <w:rsid w:val="00C94A48"/>
    <w:rsid w:val="00C9558C"/>
    <w:rsid w:val="00C96071"/>
    <w:rsid w:val="00CB57E3"/>
    <w:rsid w:val="00CB658F"/>
    <w:rsid w:val="00CD42D5"/>
    <w:rsid w:val="00D464EE"/>
    <w:rsid w:val="00D7085C"/>
    <w:rsid w:val="00D916DB"/>
    <w:rsid w:val="00D969A8"/>
    <w:rsid w:val="00DA4FBD"/>
    <w:rsid w:val="00DC7ED8"/>
    <w:rsid w:val="00E50CEA"/>
    <w:rsid w:val="00E75BF1"/>
    <w:rsid w:val="00E87908"/>
    <w:rsid w:val="00EB391D"/>
    <w:rsid w:val="00EE0C77"/>
    <w:rsid w:val="00EE7CE1"/>
    <w:rsid w:val="00EF63A4"/>
    <w:rsid w:val="00F047C6"/>
    <w:rsid w:val="00F37A99"/>
    <w:rsid w:val="00F43073"/>
    <w:rsid w:val="00F443D5"/>
    <w:rsid w:val="00F44D81"/>
    <w:rsid w:val="00F473C8"/>
    <w:rsid w:val="00F62A9A"/>
    <w:rsid w:val="00F63B9C"/>
    <w:rsid w:val="00F9134A"/>
    <w:rsid w:val="00FD24B2"/>
    <w:rsid w:val="00FD7C2C"/>
    <w:rsid w:val="00FF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5E412"/>
  <w15:chartTrackingRefBased/>
  <w15:docId w15:val="{0EED50B1-A763-4F30-9D26-6398A1BD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2D5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82D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D54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182D54"/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6E695F"/>
    <w:pPr>
      <w:ind w:left="720"/>
      <w:contextualSpacing/>
    </w:pPr>
  </w:style>
  <w:style w:type="table" w:styleId="TableGrid">
    <w:name w:val="Table Grid"/>
    <w:basedOn w:val="TableNormal"/>
    <w:uiPriority w:val="39"/>
    <w:rsid w:val="006E6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F63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63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63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cid:image001.png@01D63E71.B0B0030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69369-635B-4F23-A19D-69C01B44D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ODoherty</dc:creator>
  <cp:keywords/>
  <dc:description/>
  <cp:lastModifiedBy>James ODoherty</cp:lastModifiedBy>
  <cp:revision>3</cp:revision>
  <dcterms:created xsi:type="dcterms:W3CDTF">2020-06-12T17:18:00Z</dcterms:created>
  <dcterms:modified xsi:type="dcterms:W3CDTF">2020-06-12T18:15:00Z</dcterms:modified>
</cp:coreProperties>
</file>