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E286E6" w14:textId="182D2864" w:rsidR="00D32C06" w:rsidRDefault="003A25D8" w:rsidP="00606C2D">
      <w:pPr>
        <w:spacing w:line="240" w:lineRule="auto"/>
        <w:jc w:val="center"/>
        <w:rPr>
          <w:b/>
          <w:bCs/>
          <w:u w:val="single"/>
        </w:rPr>
      </w:pPr>
      <w:bookmarkStart w:id="0" w:name="_Hlk22053869"/>
      <w:r>
        <w:rPr>
          <w:b/>
          <w:bCs/>
          <w:u w:val="single"/>
        </w:rPr>
        <w:t xml:space="preserve">Intecrowd </w:t>
      </w:r>
      <w:r w:rsidR="00331A02">
        <w:rPr>
          <w:b/>
          <w:bCs/>
          <w:u w:val="single"/>
        </w:rPr>
        <w:t>TAaaS</w:t>
      </w:r>
      <w:bookmarkStart w:id="1" w:name="_GoBack"/>
      <w:bookmarkEnd w:id="1"/>
      <w:r>
        <w:rPr>
          <w:b/>
          <w:bCs/>
          <w:u w:val="single"/>
        </w:rPr>
        <w:t xml:space="preserve"> Proposal Outline</w:t>
      </w:r>
    </w:p>
    <w:p w14:paraId="2B89F2A6" w14:textId="662E9E86" w:rsidR="00A1147D" w:rsidRDefault="00A1147D" w:rsidP="00606C2D">
      <w:pPr>
        <w:spacing w:line="240" w:lineRule="auto"/>
        <w:jc w:val="center"/>
        <w:rPr>
          <w:b/>
          <w:bCs/>
          <w:u w:val="single"/>
        </w:rPr>
      </w:pPr>
    </w:p>
    <w:p w14:paraId="619CB920" w14:textId="30467386" w:rsidR="00A1147D" w:rsidRPr="00305956" w:rsidRDefault="00A1147D" w:rsidP="00606C2D">
      <w:pPr>
        <w:spacing w:line="240" w:lineRule="auto"/>
        <w:rPr>
          <w:u w:val="single"/>
        </w:rPr>
      </w:pPr>
      <w:r w:rsidRPr="00305956">
        <w:rPr>
          <w:u w:val="single"/>
        </w:rPr>
        <w:t>HCD: Innovative Hiring Practices that Scale</w:t>
      </w:r>
    </w:p>
    <w:p w14:paraId="19CAA6D6" w14:textId="0D9E49A0" w:rsidR="00A1147D" w:rsidRDefault="00A1147D" w:rsidP="00606C2D">
      <w:pPr>
        <w:spacing w:line="240" w:lineRule="auto"/>
      </w:pPr>
      <w:r>
        <w:t>About US</w:t>
      </w:r>
    </w:p>
    <w:p w14:paraId="280717D0" w14:textId="194556A0" w:rsidR="00FB35ED" w:rsidRDefault="00FB35ED" w:rsidP="00606C2D">
      <w:pPr>
        <w:spacing w:line="240" w:lineRule="auto"/>
      </w:pPr>
      <w:r>
        <w:t xml:space="preserve">HCD Technology is a Virginia-based </w:t>
      </w:r>
      <w:r w:rsidR="0067493D">
        <w:t>T</w:t>
      </w:r>
      <w:r>
        <w:t xml:space="preserve">alent </w:t>
      </w:r>
      <w:r w:rsidR="0067493D">
        <w:t>A</w:t>
      </w:r>
      <w:r>
        <w:t>cquisition consultancy helping to bring innovative technolog</w:t>
      </w:r>
      <w:r w:rsidR="00305956">
        <w:t>y</w:t>
      </w:r>
      <w:r>
        <w:t xml:space="preserve"> to market by providing the se</w:t>
      </w:r>
      <w:r w:rsidR="00305956">
        <w:t>ctor’s</w:t>
      </w:r>
      <w:r>
        <w:t xml:space="preserve"> most innovative and disruptive firms </w:t>
      </w:r>
      <w:r w:rsidR="00321A48">
        <w:t xml:space="preserve">with </w:t>
      </w:r>
      <w:r>
        <w:t xml:space="preserve">the talent they need to scale. </w:t>
      </w:r>
    </w:p>
    <w:p w14:paraId="23A571FE" w14:textId="1F149F62" w:rsidR="00570E09" w:rsidRDefault="00FB35ED" w:rsidP="00606C2D">
      <w:pPr>
        <w:spacing w:line="240" w:lineRule="auto"/>
      </w:pPr>
      <w:r>
        <w:t xml:space="preserve">With </w:t>
      </w:r>
      <w:r w:rsidR="0067493D">
        <w:t>e</w:t>
      </w:r>
      <w:r>
        <w:t xml:space="preserve">xperience that ranges from D.C. to Silicon Valley, our team is uniquely qualified to deliver </w:t>
      </w:r>
      <w:r w:rsidR="00321A48">
        <w:t>on a variety of technical recruiting needs</w:t>
      </w:r>
      <w:r>
        <w:t xml:space="preserve">. We have worked with passionate founders looking to add their first engineers, </w:t>
      </w:r>
      <w:r w:rsidR="00570E09">
        <w:t>built teams of 50+ for billion-</w:t>
      </w:r>
      <w:r>
        <w:t xml:space="preserve">dollar government contractors, </w:t>
      </w:r>
      <w:r w:rsidR="00570E09">
        <w:t xml:space="preserve">and scaled </w:t>
      </w:r>
      <w:r>
        <w:t>venture-backed SaaS start</w:t>
      </w:r>
      <w:r w:rsidR="00570E09">
        <w:t>-</w:t>
      </w:r>
      <w:r>
        <w:t>ups</w:t>
      </w:r>
      <w:r w:rsidR="00570E09">
        <w:t xml:space="preserve"> to their IPO.</w:t>
      </w:r>
    </w:p>
    <w:p w14:paraId="47AA1BF3" w14:textId="1D12E941" w:rsidR="00FB35ED" w:rsidRDefault="00305956" w:rsidP="00606C2D">
      <w:pPr>
        <w:spacing w:line="240" w:lineRule="auto"/>
      </w:pPr>
      <w:r>
        <w:t xml:space="preserve">The HCD team is here to help you address the problems you know you have and those you haven’t seen coming yet. </w:t>
      </w:r>
    </w:p>
    <w:p w14:paraId="095C3621" w14:textId="7786DD80" w:rsidR="00305956" w:rsidRDefault="00305956" w:rsidP="00606C2D">
      <w:pPr>
        <w:pStyle w:val="ListParagraph"/>
        <w:spacing w:line="240" w:lineRule="auto"/>
        <w:ind w:left="2160"/>
      </w:pPr>
    </w:p>
    <w:p w14:paraId="5DE8FA04" w14:textId="08D5C9F3" w:rsidR="00A1147D" w:rsidRDefault="00570E09" w:rsidP="00606C2D">
      <w:pPr>
        <w:spacing w:line="240" w:lineRule="auto"/>
      </w:pPr>
      <w:r>
        <w:t xml:space="preserve">Why We Exist </w:t>
      </w:r>
    </w:p>
    <w:p w14:paraId="6F57928E" w14:textId="1CE3AB17" w:rsidR="00FB35ED" w:rsidRDefault="00FB35ED" w:rsidP="00606C2D">
      <w:pPr>
        <w:spacing w:line="240" w:lineRule="auto"/>
      </w:pPr>
      <w:r>
        <w:t>HCD Technology was founded for one purpose – to</w:t>
      </w:r>
      <w:r w:rsidR="00305956">
        <w:t xml:space="preserve"> </w:t>
      </w:r>
      <w:r w:rsidR="00570E09">
        <w:t xml:space="preserve">drive tech advancement by </w:t>
      </w:r>
      <w:r w:rsidR="00305956">
        <w:t xml:space="preserve">providing the sector’s most innovative firms with the talent they need to scale. </w:t>
      </w:r>
      <w:r>
        <w:t xml:space="preserve"> </w:t>
      </w:r>
      <w:r w:rsidR="00305956">
        <w:t xml:space="preserve">We </w:t>
      </w:r>
      <w:r>
        <w:t xml:space="preserve">design and deliver custom talent acquisition strategies for the most innovative and driven technology companies on the market. </w:t>
      </w:r>
    </w:p>
    <w:p w14:paraId="4E532020" w14:textId="6F6C19AE" w:rsidR="00305956" w:rsidRDefault="00305956" w:rsidP="00606C2D">
      <w:pPr>
        <w:spacing w:line="240" w:lineRule="auto"/>
      </w:pPr>
    </w:p>
    <w:p w14:paraId="0DF26F4B" w14:textId="56B1C1C5" w:rsidR="00A1147D" w:rsidRDefault="00570E09" w:rsidP="00606C2D">
      <w:pPr>
        <w:spacing w:line="240" w:lineRule="auto"/>
      </w:pPr>
      <w:r>
        <w:t>What We Believe In</w:t>
      </w:r>
    </w:p>
    <w:p w14:paraId="322B2DA9" w14:textId="3F14C023" w:rsidR="00305956" w:rsidRDefault="00321A48" w:rsidP="0067493D">
      <w:pPr>
        <w:pStyle w:val="ListParagraph"/>
        <w:numPr>
          <w:ilvl w:val="0"/>
          <w:numId w:val="2"/>
        </w:numPr>
        <w:spacing w:line="240" w:lineRule="auto"/>
      </w:pPr>
      <w:r>
        <w:t>Accountability: Your employees are the future of your business. We recognize the responsibility that comes with your partnership and we are accountable to delivering on our promises.</w:t>
      </w:r>
    </w:p>
    <w:p w14:paraId="4A094B25" w14:textId="0090FD3A" w:rsidR="00305956" w:rsidRDefault="00305956" w:rsidP="0067493D">
      <w:pPr>
        <w:pStyle w:val="ListParagraph"/>
        <w:numPr>
          <w:ilvl w:val="0"/>
          <w:numId w:val="2"/>
        </w:numPr>
        <w:spacing w:line="240" w:lineRule="auto"/>
      </w:pPr>
      <w:r>
        <w:t>Intellectual Curiosity</w:t>
      </w:r>
      <w:r w:rsidR="00321A48">
        <w:t xml:space="preserve">: Few things change more rapidly these days than technology. Obtaining and retaining the very best talent on the market requires an authentic interest in the market, its biggest players, and its most promising upstarts. Our team stays relevant by staying curious. </w:t>
      </w:r>
    </w:p>
    <w:p w14:paraId="62610BB3" w14:textId="6DE9A0FF" w:rsidR="00305956" w:rsidRDefault="00305956" w:rsidP="0067493D">
      <w:pPr>
        <w:pStyle w:val="ListParagraph"/>
        <w:numPr>
          <w:ilvl w:val="0"/>
          <w:numId w:val="2"/>
        </w:numPr>
        <w:spacing w:line="240" w:lineRule="auto"/>
      </w:pPr>
      <w:r>
        <w:t>Integrity</w:t>
      </w:r>
      <w:r w:rsidR="00321A48">
        <w:t>: Our most successful clients and candidates share their dreams with us. We believe in being uncompromisingly loyal in the pursuit of win-win solutions.</w:t>
      </w:r>
    </w:p>
    <w:p w14:paraId="5476D91D" w14:textId="77777777" w:rsidR="00A1147D" w:rsidRDefault="00A1147D" w:rsidP="00606C2D">
      <w:pPr>
        <w:spacing w:line="240" w:lineRule="auto"/>
      </w:pPr>
      <w:r>
        <w:t xml:space="preserve">Our Team </w:t>
      </w:r>
    </w:p>
    <w:p w14:paraId="6E741B3A" w14:textId="5CD7E85B" w:rsidR="00A1147D" w:rsidRDefault="00570E09" w:rsidP="00606C2D">
      <w:pPr>
        <w:spacing w:line="240" w:lineRule="auto"/>
      </w:pPr>
      <w:r>
        <w:t>*</w:t>
      </w:r>
      <w:r w:rsidR="00A1147D">
        <w:t>Spots for 4 pictures and 4 short bios</w:t>
      </w:r>
      <w:r>
        <w:t>*</w:t>
      </w:r>
      <w:r w:rsidR="00A1147D">
        <w:t xml:space="preserve"> </w:t>
      </w:r>
    </w:p>
    <w:p w14:paraId="71EFD117" w14:textId="77777777" w:rsidR="00570E09" w:rsidRDefault="00305956" w:rsidP="00606C2D">
      <w:pPr>
        <w:spacing w:line="240" w:lineRule="auto"/>
        <w:contextualSpacing/>
      </w:pPr>
      <w:r>
        <w:t>Andrew Plofchan</w:t>
      </w:r>
    </w:p>
    <w:p w14:paraId="41EEC396" w14:textId="5152F0B5" w:rsidR="00305956" w:rsidRDefault="00305956" w:rsidP="00606C2D">
      <w:pPr>
        <w:spacing w:line="240" w:lineRule="auto"/>
        <w:contextualSpacing/>
      </w:pPr>
      <w:r>
        <w:t>Account Lead</w:t>
      </w:r>
    </w:p>
    <w:p w14:paraId="75E922B2" w14:textId="586028C2" w:rsidR="00570E09" w:rsidRDefault="00570E09" w:rsidP="00606C2D">
      <w:pPr>
        <w:spacing w:line="240" w:lineRule="auto"/>
      </w:pPr>
      <w:r>
        <w:t>The only thing that excites Andrew more than entrepreneurialism is the people behind disruptive companies. After</w:t>
      </w:r>
      <w:r w:rsidR="00321A48">
        <w:t xml:space="preserve"> </w:t>
      </w:r>
      <w:r>
        <w:t xml:space="preserve">years building teams as large as 65 for Federal IT contractors, Andrew started HCD to better serve the sector’s most promising firms. Andrew will be responsible for daily management of this project, including personally interviewing key candidates, coaching hiring managers on interview best practices, and working with stakeholders to address on-boarding log jams. </w:t>
      </w:r>
    </w:p>
    <w:p w14:paraId="3A6F9B0E" w14:textId="6E53AF3E" w:rsidR="00305956" w:rsidRDefault="00305956" w:rsidP="00606C2D">
      <w:pPr>
        <w:spacing w:line="240" w:lineRule="auto"/>
        <w:contextualSpacing/>
      </w:pPr>
      <w:r>
        <w:t>Brian Samson</w:t>
      </w:r>
    </w:p>
    <w:p w14:paraId="1B76DFD4" w14:textId="791AF1DA" w:rsidR="00570E09" w:rsidRDefault="00570E09" w:rsidP="00606C2D">
      <w:pPr>
        <w:spacing w:line="240" w:lineRule="auto"/>
        <w:contextualSpacing/>
      </w:pPr>
      <w:r>
        <w:t xml:space="preserve">Director, Candidate Delivery </w:t>
      </w:r>
    </w:p>
    <w:p w14:paraId="19BD225F" w14:textId="668A9165" w:rsidR="00570E09" w:rsidRDefault="00570E09" w:rsidP="00606C2D">
      <w:pPr>
        <w:spacing w:line="240" w:lineRule="auto"/>
      </w:pPr>
      <w:r>
        <w:rPr>
          <w:rFonts w:ascii="Segoe UI" w:hAnsi="Segoe UI" w:cs="Segoe UI"/>
          <w:sz w:val="21"/>
          <w:szCs w:val="21"/>
          <w:shd w:val="clear" w:color="auto" w:fill="FFFFFF"/>
        </w:rPr>
        <w:lastRenderedPageBreak/>
        <w:t>If there is one thing Brian know</w:t>
      </w:r>
      <w:r w:rsidR="00606C2D">
        <w:rPr>
          <w:rFonts w:ascii="Segoe UI" w:hAnsi="Segoe UI" w:cs="Segoe UI"/>
          <w:sz w:val="21"/>
          <w:szCs w:val="21"/>
          <w:shd w:val="clear" w:color="auto" w:fill="FFFFFF"/>
        </w:rPr>
        <w:t>s</w:t>
      </w:r>
      <w:r>
        <w:rPr>
          <w:rFonts w:ascii="Segoe UI" w:hAnsi="Segoe UI" w:cs="Segoe UI"/>
          <w:sz w:val="21"/>
          <w:szCs w:val="21"/>
          <w:shd w:val="clear" w:color="auto" w:fill="FFFFFF"/>
        </w:rPr>
        <w:t>, it is how to build and scale recruiting operations. Brian has been fortunate enough to experience 3 successful exits as part of the leadership teams for San Francisco</w:t>
      </w:r>
      <w:r w:rsidR="00606C2D">
        <w:rPr>
          <w:rFonts w:ascii="Segoe UI" w:hAnsi="Segoe UI" w:cs="Segoe UI"/>
          <w:sz w:val="21"/>
          <w:szCs w:val="21"/>
          <w:shd w:val="clear" w:color="auto" w:fill="FFFFFF"/>
        </w:rPr>
        <w:t>-</w:t>
      </w:r>
      <w:r>
        <w:rPr>
          <w:rFonts w:ascii="Segoe UI" w:hAnsi="Segoe UI" w:cs="Segoe UI"/>
          <w:sz w:val="21"/>
          <w:szCs w:val="21"/>
          <w:shd w:val="clear" w:color="auto" w:fill="FFFFFF"/>
        </w:rPr>
        <w:t xml:space="preserve">based technology startups; </w:t>
      </w:r>
      <w:proofErr w:type="spellStart"/>
      <w:r>
        <w:rPr>
          <w:rFonts w:ascii="Segoe UI" w:hAnsi="Segoe UI" w:cs="Segoe UI"/>
          <w:sz w:val="21"/>
          <w:szCs w:val="21"/>
          <w:shd w:val="clear" w:color="auto" w:fill="FFFFFF"/>
        </w:rPr>
        <w:t>Sosh</w:t>
      </w:r>
      <w:proofErr w:type="spellEnd"/>
      <w:r>
        <w:rPr>
          <w:rFonts w:ascii="Segoe UI" w:hAnsi="Segoe UI" w:cs="Segoe UI"/>
          <w:sz w:val="21"/>
          <w:szCs w:val="21"/>
          <w:shd w:val="clear" w:color="auto" w:fill="FFFFFF"/>
        </w:rPr>
        <w:t xml:space="preserve">, </w:t>
      </w:r>
      <w:proofErr w:type="spellStart"/>
      <w:r>
        <w:rPr>
          <w:rFonts w:ascii="Segoe UI" w:hAnsi="Segoe UI" w:cs="Segoe UI"/>
          <w:sz w:val="21"/>
          <w:szCs w:val="21"/>
          <w:shd w:val="clear" w:color="auto" w:fill="FFFFFF"/>
        </w:rPr>
        <w:t>LendingClub</w:t>
      </w:r>
      <w:proofErr w:type="spellEnd"/>
      <w:r>
        <w:rPr>
          <w:rFonts w:ascii="Segoe UI" w:hAnsi="Segoe UI" w:cs="Segoe UI"/>
          <w:sz w:val="21"/>
          <w:szCs w:val="21"/>
          <w:shd w:val="clear" w:color="auto" w:fill="FFFFFF"/>
        </w:rPr>
        <w:t>, and Candidate Metrics.  Brian will be responsible to keeping the Intecrowd recruiting engine humming throughout this project</w:t>
      </w:r>
      <w:r w:rsidR="00606C2D">
        <w:rPr>
          <w:rFonts w:ascii="Segoe UI" w:hAnsi="Segoe UI" w:cs="Segoe UI"/>
          <w:sz w:val="21"/>
          <w:szCs w:val="21"/>
          <w:shd w:val="clear" w:color="auto" w:fill="FFFFFF"/>
        </w:rPr>
        <w:t xml:space="preserve"> and will be available for monthly performance reviews, candidate messaging strategy sessions, and recruitment process tweaks.</w:t>
      </w:r>
    </w:p>
    <w:p w14:paraId="2B068E74" w14:textId="77777777" w:rsidR="00606C2D" w:rsidRDefault="00305956" w:rsidP="00606C2D">
      <w:pPr>
        <w:spacing w:line="240" w:lineRule="auto"/>
        <w:contextualSpacing/>
      </w:pPr>
      <w:r>
        <w:t>Jennifer Kennedy</w:t>
      </w:r>
    </w:p>
    <w:p w14:paraId="10279567" w14:textId="32A3D9D6" w:rsidR="00305956" w:rsidRDefault="00305956" w:rsidP="00606C2D">
      <w:pPr>
        <w:spacing w:line="240" w:lineRule="auto"/>
        <w:contextualSpacing/>
      </w:pPr>
      <w:r>
        <w:t xml:space="preserve">Senior Recruiter </w:t>
      </w:r>
    </w:p>
    <w:p w14:paraId="52E8BA23" w14:textId="4539B0EC" w:rsidR="00606C2D" w:rsidRDefault="00606C2D" w:rsidP="00606C2D">
      <w:pPr>
        <w:spacing w:line="240" w:lineRule="auto"/>
        <w:contextualSpacing/>
      </w:pPr>
    </w:p>
    <w:p w14:paraId="51453044" w14:textId="1B9E6559" w:rsidR="00606C2D" w:rsidRDefault="00606C2D" w:rsidP="00606C2D">
      <w:pPr>
        <w:spacing w:line="240" w:lineRule="auto"/>
        <w:contextualSpacing/>
      </w:pPr>
      <w:r>
        <w:t xml:space="preserve">A 15-year veteran of the talent acquisition industry, Jennifer has worked both as an agency recruiter and as an internal resource for firms like SAIC, Booz Allen, and UBS.  This experience makes Jennifer </w:t>
      </w:r>
      <w:proofErr w:type="gramStart"/>
      <w:r>
        <w:t>a valuable asset</w:t>
      </w:r>
      <w:proofErr w:type="gramEnd"/>
      <w:r>
        <w:t xml:space="preserve"> to anyone looking to revamp their internal hiring practice. Jennifer will be responsible for managing the sourcing team, interviewing key candidates, and maintaining quality as the project speeds up. </w:t>
      </w:r>
    </w:p>
    <w:p w14:paraId="0C9B1734" w14:textId="34D5CE6E" w:rsidR="00606C2D" w:rsidRDefault="00606C2D" w:rsidP="00606C2D">
      <w:pPr>
        <w:spacing w:line="240" w:lineRule="auto"/>
        <w:contextualSpacing/>
      </w:pPr>
    </w:p>
    <w:p w14:paraId="095D0FB5" w14:textId="77777777" w:rsidR="00606C2D" w:rsidRDefault="00606C2D" w:rsidP="00606C2D">
      <w:pPr>
        <w:spacing w:line="240" w:lineRule="auto"/>
        <w:contextualSpacing/>
      </w:pPr>
    </w:p>
    <w:p w14:paraId="62092D5C" w14:textId="00B76214" w:rsidR="00305956" w:rsidRDefault="00305956" w:rsidP="00606C2D">
      <w:pPr>
        <w:spacing w:line="240" w:lineRule="auto"/>
        <w:contextualSpacing/>
      </w:pPr>
      <w:r>
        <w:t xml:space="preserve">Jennifer </w:t>
      </w:r>
      <w:proofErr w:type="spellStart"/>
      <w:r>
        <w:t>Serpas</w:t>
      </w:r>
      <w:proofErr w:type="spellEnd"/>
      <w:r>
        <w:t xml:space="preserve"> </w:t>
      </w:r>
    </w:p>
    <w:p w14:paraId="163A3EF5" w14:textId="4E9CA593" w:rsidR="00305956" w:rsidRDefault="00AA4F31" w:rsidP="00606C2D">
      <w:pPr>
        <w:spacing w:line="240" w:lineRule="auto"/>
        <w:contextualSpacing/>
      </w:pPr>
      <w:r>
        <w:t>Jr. Recruiter/</w:t>
      </w:r>
      <w:r w:rsidR="00305956">
        <w:t xml:space="preserve">Account Coordinator </w:t>
      </w:r>
    </w:p>
    <w:p w14:paraId="1CFD30D5" w14:textId="3847203D" w:rsidR="00606C2D" w:rsidRDefault="00606C2D" w:rsidP="00606C2D">
      <w:pPr>
        <w:spacing w:line="240" w:lineRule="auto"/>
        <w:contextualSpacing/>
      </w:pPr>
    </w:p>
    <w:p w14:paraId="1BAC9B3B" w14:textId="5B674F85" w:rsidR="00606C2D" w:rsidRDefault="00606C2D" w:rsidP="00606C2D">
      <w:pPr>
        <w:spacing w:line="240" w:lineRule="auto"/>
        <w:contextualSpacing/>
      </w:pPr>
      <w:r>
        <w:t xml:space="preserve">A new addition to the HCD team, Jennifer brings a wealth of experience in process improvement, stakeholder management, and corporate communication. For this project, she will be responsible for tracking and reporting key metrics, managing communication and scheduling across hiring managers, and assisting with the candidate onboarding process. </w:t>
      </w:r>
    </w:p>
    <w:p w14:paraId="25627ADC" w14:textId="4E0FFFB8" w:rsidR="00606C2D" w:rsidRDefault="00606C2D" w:rsidP="00606C2D">
      <w:pPr>
        <w:spacing w:line="240" w:lineRule="auto"/>
        <w:contextualSpacing/>
      </w:pPr>
    </w:p>
    <w:p w14:paraId="5617A292" w14:textId="77777777" w:rsidR="00606C2D" w:rsidRDefault="00606C2D" w:rsidP="00606C2D">
      <w:pPr>
        <w:spacing w:line="240" w:lineRule="auto"/>
      </w:pPr>
      <w:r w:rsidRPr="00606C2D">
        <w:rPr>
          <w:highlight w:val="yellow"/>
        </w:rPr>
        <w:t>PAGE BREAK</w:t>
      </w:r>
    </w:p>
    <w:p w14:paraId="56D21FB7" w14:textId="50BCD5EC" w:rsidR="00606C2D" w:rsidRPr="00787109" w:rsidRDefault="006C39C8" w:rsidP="00606C2D">
      <w:pPr>
        <w:spacing w:line="240" w:lineRule="auto"/>
        <w:contextualSpacing/>
        <w:rPr>
          <w:b/>
          <w:bCs/>
          <w:u w:val="single"/>
        </w:rPr>
      </w:pPr>
      <w:r w:rsidRPr="00787109">
        <w:rPr>
          <w:b/>
          <w:bCs/>
          <w:u w:val="single"/>
        </w:rPr>
        <w:t>Workday Talent Wars</w:t>
      </w:r>
    </w:p>
    <w:p w14:paraId="7767AAA1" w14:textId="77777777" w:rsidR="006C39C8" w:rsidRDefault="006C39C8" w:rsidP="00606C2D">
      <w:pPr>
        <w:spacing w:line="240" w:lineRule="auto"/>
        <w:contextualSpacing/>
      </w:pPr>
    </w:p>
    <w:p w14:paraId="4E2A1571" w14:textId="77777777" w:rsidR="006C39C8" w:rsidRDefault="00606C2D" w:rsidP="00606C2D">
      <w:pPr>
        <w:spacing w:line="240" w:lineRule="auto"/>
      </w:pPr>
      <w:r>
        <w:t xml:space="preserve">Intecrowd’s growth to-date has been impressive. </w:t>
      </w:r>
      <w:r w:rsidR="006C39C8">
        <w:t xml:space="preserve">The firm has seen a 188% increase in headcount in the past two year, growing by an average of 40 FTE annually. </w:t>
      </w:r>
    </w:p>
    <w:p w14:paraId="3F060E98" w14:textId="01968200" w:rsidR="00606C2D" w:rsidRDefault="006C39C8" w:rsidP="00606C2D">
      <w:pPr>
        <w:spacing w:line="240" w:lineRule="auto"/>
      </w:pPr>
      <w:r>
        <w:t>Unfortunately, the c</w:t>
      </w:r>
      <w:r w:rsidR="00606C2D">
        <w:t xml:space="preserve">urrent strategy </w:t>
      </w:r>
      <w:r>
        <w:t xml:space="preserve">of </w:t>
      </w:r>
      <w:r w:rsidR="00606C2D">
        <w:t>organic</w:t>
      </w:r>
      <w:r>
        <w:t xml:space="preserve"> growth lead by static job postings and internal employee referrals h</w:t>
      </w:r>
      <w:r w:rsidR="00606C2D">
        <w:t>as reached a saturation point.</w:t>
      </w:r>
      <w:r>
        <w:t xml:space="preserve"> In an industry where </w:t>
      </w:r>
      <w:r w:rsidR="00BB4F1C">
        <w:t>failure to hire means failure to bill</w:t>
      </w:r>
      <w:r>
        <w:t xml:space="preserve">, </w:t>
      </w:r>
      <w:proofErr w:type="gramStart"/>
      <w:r>
        <w:t>It</w:t>
      </w:r>
      <w:proofErr w:type="gramEnd"/>
      <w:r>
        <w:t xml:space="preserve"> is simply not possible to keep up with client demand without a more dynamic talent acquisition process.</w:t>
      </w:r>
      <w:r w:rsidR="00606C2D">
        <w:t xml:space="preserve"> </w:t>
      </w:r>
    </w:p>
    <w:p w14:paraId="0160FAC2" w14:textId="77777777" w:rsidR="006C39C8" w:rsidRPr="00787109" w:rsidRDefault="006C39C8" w:rsidP="006C39C8">
      <w:pPr>
        <w:spacing w:line="240" w:lineRule="auto"/>
        <w:rPr>
          <w:b/>
          <w:bCs/>
          <w:u w:val="single"/>
        </w:rPr>
      </w:pPr>
      <w:r w:rsidRPr="00787109">
        <w:rPr>
          <w:b/>
          <w:bCs/>
          <w:u w:val="single"/>
        </w:rPr>
        <w:t xml:space="preserve">Build a Winning Talent Engine </w:t>
      </w:r>
    </w:p>
    <w:p w14:paraId="6940A971" w14:textId="5DBCBCF9" w:rsidR="00BB4F1C" w:rsidRDefault="00A1147D" w:rsidP="00606C2D">
      <w:pPr>
        <w:spacing w:line="240" w:lineRule="auto"/>
      </w:pPr>
      <w:r>
        <w:t>Our objective is to design and implement a talent acquisition program that effectively captures top ERP consul</w:t>
      </w:r>
      <w:r w:rsidR="006C39C8">
        <w:t>tants</w:t>
      </w:r>
      <w:r>
        <w:t xml:space="preserve"> and brings them into the Workday integration ecosystem</w:t>
      </w:r>
      <w:r w:rsidR="00BB4F1C">
        <w:t xml:space="preserve"> </w:t>
      </w:r>
      <w:r>
        <w:t>as a member of the Intecrowd team</w:t>
      </w:r>
      <w:r w:rsidR="00BB4F1C">
        <w:t>, thereby allowing the firm to meet client demand and accelerate growth.</w:t>
      </w:r>
    </w:p>
    <w:p w14:paraId="026DD121" w14:textId="7D140574" w:rsidR="00A1147D" w:rsidRDefault="00BB4F1C" w:rsidP="00606C2D">
      <w:pPr>
        <w:spacing w:line="240" w:lineRule="auto"/>
      </w:pPr>
      <w:r>
        <w:t>To achieve this objective, we have identified the following three goals:</w:t>
      </w:r>
    </w:p>
    <w:p w14:paraId="49FC832E" w14:textId="12F5DE5D" w:rsidR="00A1147D" w:rsidRDefault="0067493D" w:rsidP="00BB4F1C">
      <w:pPr>
        <w:spacing w:line="240" w:lineRule="auto"/>
      </w:pPr>
      <w:r>
        <w:rPr>
          <w:b/>
          <w:bCs/>
        </w:rPr>
        <w:t xml:space="preserve">Hire </w:t>
      </w:r>
      <w:r w:rsidR="00BB4F1C" w:rsidRPr="00BB4F1C">
        <w:rPr>
          <w:b/>
          <w:bCs/>
        </w:rPr>
        <w:t>100 by 10/1</w:t>
      </w:r>
      <w:r w:rsidR="00A1147D" w:rsidRPr="00BB4F1C">
        <w:rPr>
          <w:b/>
          <w:bCs/>
        </w:rPr>
        <w:t>:</w:t>
      </w:r>
      <w:r w:rsidR="00A1147D">
        <w:t xml:space="preserve"> Identify, hire, and on-board approximately 100 New Intecrowd Consultants (NICs) by </w:t>
      </w:r>
      <w:r w:rsidR="00BB4F1C">
        <w:t xml:space="preserve">end of </w:t>
      </w:r>
      <w:r w:rsidR="00A1147D">
        <w:t>September 2020. It is anticipated that these NICs will to distributed across each of Intecrowd’s standard employee tiers as follows:</w:t>
      </w:r>
    </w:p>
    <w:p w14:paraId="5F10F8E3" w14:textId="2282DDAB" w:rsidR="002E0FF8" w:rsidRDefault="002E0FF8" w:rsidP="00787109">
      <w:pPr>
        <w:pStyle w:val="NormalWeb"/>
        <w:spacing w:before="0" w:beforeAutospacing="0" w:after="0" w:afterAutospacing="0"/>
        <w:ind w:left="720"/>
        <w:textAlignment w:val="baseline"/>
        <w:rPr>
          <w:rFonts w:ascii="Arial" w:hAnsi="Arial" w:cs="Arial"/>
          <w:color w:val="000000"/>
          <w:sz w:val="22"/>
          <w:szCs w:val="22"/>
        </w:rPr>
      </w:pPr>
    </w:p>
    <w:tbl>
      <w:tblPr>
        <w:tblStyle w:val="TableGrid"/>
        <w:tblW w:w="0" w:type="auto"/>
        <w:tblLook w:val="04A0" w:firstRow="1" w:lastRow="0" w:firstColumn="1" w:lastColumn="0" w:noHBand="0" w:noVBand="1"/>
      </w:tblPr>
      <w:tblGrid>
        <w:gridCol w:w="2337"/>
        <w:gridCol w:w="2337"/>
        <w:gridCol w:w="2338"/>
        <w:gridCol w:w="2338"/>
      </w:tblGrid>
      <w:tr w:rsidR="00787109" w14:paraId="5EF03D48" w14:textId="77777777" w:rsidTr="00787109">
        <w:tc>
          <w:tcPr>
            <w:tcW w:w="2337" w:type="dxa"/>
          </w:tcPr>
          <w:p w14:paraId="709B88B3" w14:textId="1A07C5A4" w:rsidR="00787109" w:rsidRPr="00787109" w:rsidRDefault="00787109" w:rsidP="00787109">
            <w:pPr>
              <w:pStyle w:val="NormalWeb"/>
              <w:spacing w:before="0" w:beforeAutospacing="0" w:after="0" w:afterAutospacing="0"/>
              <w:textAlignment w:val="baseline"/>
              <w:rPr>
                <w:rFonts w:ascii="Arial" w:hAnsi="Arial" w:cs="Arial"/>
                <w:b/>
                <w:bCs/>
                <w:color w:val="000000"/>
                <w:sz w:val="22"/>
                <w:szCs w:val="22"/>
              </w:rPr>
            </w:pPr>
            <w:r w:rsidRPr="00787109">
              <w:rPr>
                <w:rFonts w:ascii="Arial" w:hAnsi="Arial" w:cs="Arial"/>
                <w:b/>
                <w:bCs/>
                <w:color w:val="000000"/>
                <w:sz w:val="22"/>
                <w:szCs w:val="22"/>
              </w:rPr>
              <w:t>Level</w:t>
            </w:r>
          </w:p>
        </w:tc>
        <w:tc>
          <w:tcPr>
            <w:tcW w:w="2337" w:type="dxa"/>
          </w:tcPr>
          <w:p w14:paraId="19D81E3C" w14:textId="79B47830" w:rsidR="00787109" w:rsidRPr="00787109" w:rsidRDefault="00787109" w:rsidP="00787109">
            <w:pPr>
              <w:pStyle w:val="NormalWeb"/>
              <w:spacing w:before="0" w:beforeAutospacing="0" w:after="0" w:afterAutospacing="0"/>
              <w:textAlignment w:val="baseline"/>
              <w:rPr>
                <w:rFonts w:ascii="Arial" w:hAnsi="Arial" w:cs="Arial"/>
                <w:b/>
                <w:bCs/>
                <w:color w:val="000000"/>
                <w:sz w:val="22"/>
                <w:szCs w:val="22"/>
              </w:rPr>
            </w:pPr>
            <w:r w:rsidRPr="00787109">
              <w:rPr>
                <w:rFonts w:ascii="Arial" w:hAnsi="Arial" w:cs="Arial"/>
                <w:b/>
                <w:bCs/>
                <w:color w:val="000000"/>
                <w:sz w:val="22"/>
                <w:szCs w:val="22"/>
              </w:rPr>
              <w:t xml:space="preserve">Experience </w:t>
            </w:r>
          </w:p>
        </w:tc>
        <w:tc>
          <w:tcPr>
            <w:tcW w:w="2338" w:type="dxa"/>
          </w:tcPr>
          <w:p w14:paraId="130CAA28" w14:textId="57652EF9" w:rsidR="00787109" w:rsidRPr="00787109" w:rsidRDefault="00787109" w:rsidP="00787109">
            <w:pPr>
              <w:pStyle w:val="NormalWeb"/>
              <w:spacing w:before="0" w:beforeAutospacing="0" w:after="0" w:afterAutospacing="0"/>
              <w:textAlignment w:val="baseline"/>
              <w:rPr>
                <w:rFonts w:ascii="Arial" w:hAnsi="Arial" w:cs="Arial"/>
                <w:b/>
                <w:bCs/>
                <w:color w:val="000000"/>
                <w:sz w:val="22"/>
                <w:szCs w:val="22"/>
              </w:rPr>
            </w:pPr>
            <w:r w:rsidRPr="00787109">
              <w:rPr>
                <w:rFonts w:ascii="Arial" w:hAnsi="Arial" w:cs="Arial"/>
                <w:b/>
                <w:bCs/>
                <w:color w:val="000000"/>
                <w:sz w:val="22"/>
                <w:szCs w:val="22"/>
              </w:rPr>
              <w:t>Salary</w:t>
            </w:r>
          </w:p>
        </w:tc>
        <w:tc>
          <w:tcPr>
            <w:tcW w:w="2338" w:type="dxa"/>
          </w:tcPr>
          <w:p w14:paraId="67E88982" w14:textId="0C5883C2" w:rsidR="00787109" w:rsidRPr="00787109" w:rsidRDefault="00787109" w:rsidP="00787109">
            <w:pPr>
              <w:pStyle w:val="NormalWeb"/>
              <w:spacing w:before="0" w:beforeAutospacing="0" w:after="0" w:afterAutospacing="0"/>
              <w:textAlignment w:val="baseline"/>
              <w:rPr>
                <w:rFonts w:ascii="Arial" w:hAnsi="Arial" w:cs="Arial"/>
                <w:b/>
                <w:bCs/>
                <w:color w:val="000000"/>
                <w:sz w:val="22"/>
                <w:szCs w:val="22"/>
              </w:rPr>
            </w:pPr>
            <w:r w:rsidRPr="00787109">
              <w:rPr>
                <w:rFonts w:ascii="Arial" w:hAnsi="Arial" w:cs="Arial"/>
                <w:b/>
                <w:bCs/>
                <w:color w:val="000000"/>
                <w:sz w:val="22"/>
                <w:szCs w:val="22"/>
              </w:rPr>
              <w:t># of New Hires</w:t>
            </w:r>
          </w:p>
        </w:tc>
      </w:tr>
      <w:tr w:rsidR="00787109" w14:paraId="091568C6" w14:textId="77777777" w:rsidTr="00787109">
        <w:tc>
          <w:tcPr>
            <w:tcW w:w="2337" w:type="dxa"/>
          </w:tcPr>
          <w:p w14:paraId="416BD311" w14:textId="7574315B" w:rsidR="00787109" w:rsidRDefault="00787109" w:rsidP="00787109">
            <w:pPr>
              <w:pStyle w:val="NormalWeb"/>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Entry Level</w:t>
            </w:r>
          </w:p>
        </w:tc>
        <w:tc>
          <w:tcPr>
            <w:tcW w:w="2337" w:type="dxa"/>
          </w:tcPr>
          <w:p w14:paraId="608CF9D5" w14:textId="6A879D49" w:rsidR="00787109" w:rsidRDefault="00787109" w:rsidP="00787109">
            <w:pPr>
              <w:pStyle w:val="NormalWeb"/>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0</w:t>
            </w:r>
          </w:p>
        </w:tc>
        <w:tc>
          <w:tcPr>
            <w:tcW w:w="2338" w:type="dxa"/>
          </w:tcPr>
          <w:p w14:paraId="1B59453C" w14:textId="035AC185" w:rsidR="00787109" w:rsidRDefault="00787109" w:rsidP="00787109">
            <w:pPr>
              <w:pStyle w:val="NormalWeb"/>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$60-$70K</w:t>
            </w:r>
          </w:p>
        </w:tc>
        <w:tc>
          <w:tcPr>
            <w:tcW w:w="2338" w:type="dxa"/>
          </w:tcPr>
          <w:p w14:paraId="4AC1D501" w14:textId="6D73FCE5" w:rsidR="00787109" w:rsidRDefault="00787109" w:rsidP="00787109">
            <w:pPr>
              <w:pStyle w:val="NormalWeb"/>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15</w:t>
            </w:r>
          </w:p>
        </w:tc>
      </w:tr>
      <w:tr w:rsidR="00787109" w14:paraId="4F3987B2" w14:textId="77777777" w:rsidTr="00787109">
        <w:tc>
          <w:tcPr>
            <w:tcW w:w="2337" w:type="dxa"/>
          </w:tcPr>
          <w:p w14:paraId="15612C81" w14:textId="2A937DD9" w:rsidR="00787109" w:rsidRDefault="00787109" w:rsidP="00787109">
            <w:pPr>
              <w:pStyle w:val="NormalWeb"/>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lastRenderedPageBreak/>
              <w:t xml:space="preserve">Jr. Consultant </w:t>
            </w:r>
          </w:p>
        </w:tc>
        <w:tc>
          <w:tcPr>
            <w:tcW w:w="2337" w:type="dxa"/>
          </w:tcPr>
          <w:p w14:paraId="4BF509A9" w14:textId="0EAE29DA" w:rsidR="00787109" w:rsidRDefault="00787109" w:rsidP="00787109">
            <w:pPr>
              <w:pStyle w:val="NormalWeb"/>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 xml:space="preserve">1-2 </w:t>
            </w:r>
          </w:p>
        </w:tc>
        <w:tc>
          <w:tcPr>
            <w:tcW w:w="2338" w:type="dxa"/>
          </w:tcPr>
          <w:p w14:paraId="12806619" w14:textId="014813D1" w:rsidR="00787109" w:rsidRDefault="00787109" w:rsidP="00787109">
            <w:pPr>
              <w:pStyle w:val="NormalWeb"/>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$90K</w:t>
            </w:r>
          </w:p>
        </w:tc>
        <w:tc>
          <w:tcPr>
            <w:tcW w:w="2338" w:type="dxa"/>
          </w:tcPr>
          <w:p w14:paraId="62D98E6B" w14:textId="678CFC0E" w:rsidR="00787109" w:rsidRDefault="00787109" w:rsidP="00787109">
            <w:pPr>
              <w:pStyle w:val="NormalWeb"/>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25</w:t>
            </w:r>
          </w:p>
        </w:tc>
      </w:tr>
      <w:tr w:rsidR="00787109" w14:paraId="2A150CAD" w14:textId="77777777" w:rsidTr="00787109">
        <w:tc>
          <w:tcPr>
            <w:tcW w:w="2337" w:type="dxa"/>
          </w:tcPr>
          <w:p w14:paraId="6D1795EC" w14:textId="3E21FB34" w:rsidR="00787109" w:rsidRDefault="00787109" w:rsidP="00787109">
            <w:pPr>
              <w:pStyle w:val="NormalWeb"/>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 xml:space="preserve">Consultant </w:t>
            </w:r>
          </w:p>
        </w:tc>
        <w:tc>
          <w:tcPr>
            <w:tcW w:w="2337" w:type="dxa"/>
          </w:tcPr>
          <w:p w14:paraId="3CDF6BE8" w14:textId="762800EC" w:rsidR="00787109" w:rsidRDefault="00787109" w:rsidP="00787109">
            <w:pPr>
              <w:pStyle w:val="NormalWeb"/>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3-5</w:t>
            </w:r>
          </w:p>
        </w:tc>
        <w:tc>
          <w:tcPr>
            <w:tcW w:w="2338" w:type="dxa"/>
          </w:tcPr>
          <w:p w14:paraId="623B6FC8" w14:textId="37BCCFAE" w:rsidR="00787109" w:rsidRDefault="00787109" w:rsidP="00787109">
            <w:pPr>
              <w:pStyle w:val="NormalWeb"/>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$110-$120K (more for WD certified)</w:t>
            </w:r>
          </w:p>
        </w:tc>
        <w:tc>
          <w:tcPr>
            <w:tcW w:w="2338" w:type="dxa"/>
          </w:tcPr>
          <w:p w14:paraId="1D3C36F5" w14:textId="593E7B36" w:rsidR="00787109" w:rsidRDefault="00787109" w:rsidP="00787109">
            <w:pPr>
              <w:pStyle w:val="NormalWeb"/>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50</w:t>
            </w:r>
          </w:p>
        </w:tc>
      </w:tr>
      <w:tr w:rsidR="00787109" w14:paraId="7D90E07E" w14:textId="77777777" w:rsidTr="00787109">
        <w:tc>
          <w:tcPr>
            <w:tcW w:w="2337" w:type="dxa"/>
          </w:tcPr>
          <w:p w14:paraId="701B047B" w14:textId="17120C17" w:rsidR="00787109" w:rsidRDefault="00787109" w:rsidP="00787109">
            <w:pPr>
              <w:pStyle w:val="NormalWeb"/>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 xml:space="preserve">Sr. Consultant </w:t>
            </w:r>
          </w:p>
        </w:tc>
        <w:tc>
          <w:tcPr>
            <w:tcW w:w="2337" w:type="dxa"/>
          </w:tcPr>
          <w:p w14:paraId="5787C703" w14:textId="6D0B20FF" w:rsidR="00787109" w:rsidRDefault="00787109" w:rsidP="00787109">
            <w:pPr>
              <w:pStyle w:val="NormalWeb"/>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 xml:space="preserve">7-10 </w:t>
            </w:r>
          </w:p>
        </w:tc>
        <w:tc>
          <w:tcPr>
            <w:tcW w:w="2338" w:type="dxa"/>
          </w:tcPr>
          <w:p w14:paraId="0EEAA053" w14:textId="0564793F" w:rsidR="00787109" w:rsidRDefault="00787109" w:rsidP="00787109">
            <w:pPr>
              <w:pStyle w:val="NormalWeb"/>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$150-$160K</w:t>
            </w:r>
          </w:p>
        </w:tc>
        <w:tc>
          <w:tcPr>
            <w:tcW w:w="2338" w:type="dxa"/>
          </w:tcPr>
          <w:p w14:paraId="5A1548A6" w14:textId="6A82444B" w:rsidR="00787109" w:rsidRDefault="00787109" w:rsidP="00787109">
            <w:pPr>
              <w:pStyle w:val="NormalWeb"/>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10</w:t>
            </w:r>
          </w:p>
        </w:tc>
      </w:tr>
    </w:tbl>
    <w:p w14:paraId="3D1970BC" w14:textId="77777777" w:rsidR="00787109" w:rsidRDefault="00787109" w:rsidP="00787109">
      <w:pPr>
        <w:pStyle w:val="NormalWeb"/>
        <w:spacing w:before="0" w:beforeAutospacing="0" w:after="0" w:afterAutospacing="0"/>
        <w:textAlignment w:val="baseline"/>
        <w:rPr>
          <w:rFonts w:ascii="Arial" w:hAnsi="Arial" w:cs="Arial"/>
          <w:color w:val="000000"/>
          <w:sz w:val="22"/>
          <w:szCs w:val="22"/>
        </w:rPr>
      </w:pPr>
    </w:p>
    <w:p w14:paraId="7D6049EF" w14:textId="77777777" w:rsidR="002E0FF8" w:rsidRDefault="002E0FF8" w:rsidP="00BB4F1C">
      <w:pPr>
        <w:spacing w:line="240" w:lineRule="auto"/>
      </w:pPr>
    </w:p>
    <w:p w14:paraId="74A3C29D" w14:textId="6246D0BF" w:rsidR="00BB4F1C" w:rsidRDefault="00BB4F1C" w:rsidP="00BB4F1C">
      <w:pPr>
        <w:spacing w:line="240" w:lineRule="auto"/>
      </w:pPr>
      <w:r w:rsidRPr="00BB4F1C">
        <w:rPr>
          <w:b/>
          <w:bCs/>
        </w:rPr>
        <w:t>Reduce Cost-per-Hire (CPH)</w:t>
      </w:r>
      <w:r w:rsidR="00A1147D" w:rsidRPr="00BB4F1C">
        <w:rPr>
          <w:b/>
          <w:bCs/>
        </w:rPr>
        <w:t>:</w:t>
      </w:r>
      <w:r w:rsidR="00A1147D">
        <w:t xml:space="preserve"> </w:t>
      </w:r>
      <w:r>
        <w:t xml:space="preserve">Cost-per-Hires is </w:t>
      </w:r>
      <w:r w:rsidR="00941C85">
        <w:t>calculated</w:t>
      </w:r>
      <w:r>
        <w:t xml:space="preserve"> as follows:</w:t>
      </w:r>
    </w:p>
    <w:p w14:paraId="0AF2FFCA" w14:textId="6B32011B" w:rsidR="00BB4F1C" w:rsidRDefault="00BB4F1C" w:rsidP="00941C85">
      <w:pPr>
        <w:spacing w:line="240" w:lineRule="auto"/>
        <w:ind w:left="720"/>
      </w:pPr>
      <w:r>
        <w:t>[(Talent team salaries x burden) + (cost of tools/software licenses used) + (</w:t>
      </w:r>
      <w:r w:rsidR="00941C85">
        <w:t>internal</w:t>
      </w:r>
      <w:r>
        <w:t xml:space="preserve"> referral fees x # of internal referrals)] / # of hires per year = CPH</w:t>
      </w:r>
    </w:p>
    <w:p w14:paraId="4615D408" w14:textId="77777777" w:rsidR="00787109" w:rsidRDefault="00BB4F1C" w:rsidP="00941C85">
      <w:pPr>
        <w:spacing w:line="240" w:lineRule="auto"/>
        <w:ind w:left="720"/>
      </w:pPr>
      <w:r>
        <w:t>The estimated CPH for Intecrowd is $13,775</w:t>
      </w:r>
      <w:r w:rsidR="00941C85">
        <w:t xml:space="preserve">.00.  </w:t>
      </w:r>
    </w:p>
    <w:p w14:paraId="77414B49" w14:textId="12DBC25A" w:rsidR="00A1147D" w:rsidRDefault="00941C85" w:rsidP="00941C85">
      <w:pPr>
        <w:spacing w:line="240" w:lineRule="auto"/>
        <w:ind w:left="720"/>
      </w:pPr>
      <w:r>
        <w:t>Our goal is to a</w:t>
      </w:r>
      <w:r w:rsidR="00A1147D">
        <w:t>chieve a cost-per-hire (CPH) of less than $</w:t>
      </w:r>
      <w:r>
        <w:t>8</w:t>
      </w:r>
      <w:r w:rsidR="00A1147D">
        <w:t>,000</w:t>
      </w:r>
      <w:r>
        <w:t>, representing a reduction of over 40%</w:t>
      </w:r>
      <w:r w:rsidR="00787109">
        <w:t xml:space="preserve"> on the cost of labor.</w:t>
      </w:r>
    </w:p>
    <w:p w14:paraId="1EF21C9E" w14:textId="00EF2B46" w:rsidR="00A1147D" w:rsidRDefault="0067493D" w:rsidP="00941C85">
      <w:pPr>
        <w:spacing w:line="240" w:lineRule="auto"/>
      </w:pPr>
      <w:r>
        <w:rPr>
          <w:b/>
          <w:bCs/>
        </w:rPr>
        <w:t xml:space="preserve">Lay the </w:t>
      </w:r>
      <w:r w:rsidR="00941C85">
        <w:rPr>
          <w:b/>
          <w:bCs/>
        </w:rPr>
        <w:t>foundation for future growth</w:t>
      </w:r>
      <w:r w:rsidR="00A1147D">
        <w:t xml:space="preserve">: </w:t>
      </w:r>
      <w:r w:rsidR="00941C85">
        <w:t xml:space="preserve">By the end of this project, Intecrowd will be equipped with a robust database of ERP talent from all over the country, a finely-honed interview processes, and an understanding of the metrics that </w:t>
      </w:r>
      <w:r w:rsidR="00787109">
        <w:t xml:space="preserve">are </w:t>
      </w:r>
      <w:r w:rsidR="00941C85">
        <w:t>predictive of success when hiring. Coupled with the momentum that comes with 50% increase in headcount in calendar year, this is a recipe for success.</w:t>
      </w:r>
    </w:p>
    <w:p w14:paraId="05483311" w14:textId="77777777" w:rsidR="006C39C8" w:rsidRDefault="006C39C8" w:rsidP="006C39C8">
      <w:pPr>
        <w:spacing w:line="240" w:lineRule="auto"/>
      </w:pPr>
      <w:r w:rsidRPr="006C39C8">
        <w:rPr>
          <w:highlight w:val="yellow"/>
        </w:rPr>
        <w:t>PAGE BREAK</w:t>
      </w:r>
    </w:p>
    <w:p w14:paraId="372931AE" w14:textId="77777777" w:rsidR="006C39C8" w:rsidRDefault="006C39C8" w:rsidP="006C39C8">
      <w:pPr>
        <w:spacing w:line="240" w:lineRule="auto"/>
      </w:pPr>
    </w:p>
    <w:p w14:paraId="49409EDB" w14:textId="5518F622" w:rsidR="00A1147D" w:rsidRPr="00AA4F31" w:rsidRDefault="00941C85" w:rsidP="006C39C8">
      <w:pPr>
        <w:spacing w:line="240" w:lineRule="auto"/>
        <w:rPr>
          <w:b/>
          <w:bCs/>
          <w:u w:val="single"/>
        </w:rPr>
      </w:pPr>
      <w:r>
        <w:rPr>
          <w:b/>
          <w:bCs/>
          <w:u w:val="single"/>
        </w:rPr>
        <w:t xml:space="preserve">HCD Solution - </w:t>
      </w:r>
      <w:r w:rsidR="00A1147D" w:rsidRPr="00AA4F31">
        <w:rPr>
          <w:b/>
          <w:bCs/>
          <w:u w:val="single"/>
        </w:rPr>
        <w:t>Hybrid R</w:t>
      </w:r>
      <w:r w:rsidR="00180B34" w:rsidRPr="00AA4F31">
        <w:rPr>
          <w:b/>
          <w:bCs/>
          <w:u w:val="single"/>
        </w:rPr>
        <w:t>PO</w:t>
      </w:r>
    </w:p>
    <w:p w14:paraId="2499A335" w14:textId="1688D9A2" w:rsidR="006C39C8" w:rsidRDefault="006C39C8" w:rsidP="006C39C8">
      <w:pPr>
        <w:spacing w:line="240" w:lineRule="auto"/>
      </w:pPr>
      <w:r>
        <w:t xml:space="preserve">This solution is ideal of companies that are happy with their current recruiting </w:t>
      </w:r>
      <w:r w:rsidR="00AA4F31">
        <w:t>practices but</w:t>
      </w:r>
      <w:r w:rsidR="00C5628B">
        <w:t xml:space="preserve"> are </w:t>
      </w:r>
      <w:r>
        <w:t xml:space="preserve">looking to throw gas on the fire. </w:t>
      </w:r>
      <w:r w:rsidR="00180B34">
        <w:t xml:space="preserve">As a third-party consulting partner, our goal is not to replace or alter your practices, but to work within your current workflow to increase output. </w:t>
      </w:r>
    </w:p>
    <w:p w14:paraId="4F9C6CCD" w14:textId="61742A42" w:rsidR="00C5628B" w:rsidRDefault="00E60212" w:rsidP="00180B34">
      <w:pPr>
        <w:spacing w:line="240" w:lineRule="auto"/>
      </w:pPr>
      <w:r>
        <w:t>With</w:t>
      </w:r>
      <w:r w:rsidR="00C5628B">
        <w:t xml:space="preserve"> Hybrid RPO</w:t>
      </w:r>
      <w:r w:rsidR="00180B34">
        <w:t>, the HCD will be responsible for</w:t>
      </w:r>
      <w:r w:rsidR="00C5628B">
        <w:t xml:space="preserve"> certain aspects of the recruiting process, namely candidate identification and screening for </w:t>
      </w:r>
      <w:r>
        <w:t>3</w:t>
      </w:r>
      <w:r w:rsidR="00180B34">
        <w:t xml:space="preserve"> number of positions each week</w:t>
      </w:r>
      <w:r w:rsidR="00C5628B">
        <w:t xml:space="preserve">. </w:t>
      </w:r>
      <w:r w:rsidR="00AA4F31">
        <w:t>Once candidates are screened, w</w:t>
      </w:r>
      <w:r w:rsidR="00C5628B">
        <w:t xml:space="preserve">e </w:t>
      </w:r>
      <w:r w:rsidR="00AA4F31">
        <w:t>work with</w:t>
      </w:r>
      <w:r w:rsidR="00C5628B">
        <w:t xml:space="preserve"> your recruiting team to</w:t>
      </w:r>
      <w:r w:rsidR="00AA4F31">
        <w:t xml:space="preserve"> schedule interviews and address candidate questions.</w:t>
      </w:r>
      <w:r w:rsidR="00C5628B">
        <w:t xml:space="preserve"> Final</w:t>
      </w:r>
      <w:r w:rsidR="00AA4F31">
        <w:t xml:space="preserve"> offers</w:t>
      </w:r>
      <w:r>
        <w:t xml:space="preserve">, </w:t>
      </w:r>
      <w:r w:rsidR="00AA4F31">
        <w:t xml:space="preserve">salary </w:t>
      </w:r>
      <w:r w:rsidR="00C5628B">
        <w:t>negotiations</w:t>
      </w:r>
      <w:r>
        <w:t>, and onboarding</w:t>
      </w:r>
      <w:r w:rsidR="00C5628B">
        <w:t xml:space="preserve"> are handled by your recruiting team. </w:t>
      </w:r>
    </w:p>
    <w:p w14:paraId="6E1738B3" w14:textId="573D0BBC" w:rsidR="00C5628B" w:rsidRPr="00787109" w:rsidRDefault="00C5628B" w:rsidP="00180B34">
      <w:pPr>
        <w:spacing w:line="240" w:lineRule="auto"/>
        <w:rPr>
          <w:b/>
          <w:bCs/>
        </w:rPr>
      </w:pPr>
      <w:r w:rsidRPr="00787109">
        <w:rPr>
          <w:b/>
          <w:bCs/>
        </w:rPr>
        <w:t>Intecrowd + HCD = Hybrid Success</w:t>
      </w:r>
    </w:p>
    <w:p w14:paraId="26158D1E" w14:textId="4AFA15EA" w:rsidR="00180B34" w:rsidRDefault="00C5628B" w:rsidP="006C39C8">
      <w:pPr>
        <w:spacing w:line="240" w:lineRule="auto"/>
      </w:pPr>
      <w:r>
        <w:t>In order to deliver the 100 candidates required for this project, we estimate adding:</w:t>
      </w:r>
    </w:p>
    <w:p w14:paraId="35281542" w14:textId="6176AC7F" w:rsidR="00A51046" w:rsidRDefault="00A51046" w:rsidP="00C5628B">
      <w:pPr>
        <w:pStyle w:val="ListParagraph"/>
        <w:numPr>
          <w:ilvl w:val="0"/>
          <w:numId w:val="3"/>
        </w:numPr>
        <w:spacing w:line="240" w:lineRule="auto"/>
      </w:pPr>
      <w:r>
        <w:t>1 Account Lead</w:t>
      </w:r>
    </w:p>
    <w:p w14:paraId="7727815B" w14:textId="0BD63E7E" w:rsidR="00C5628B" w:rsidRDefault="00C5628B" w:rsidP="00C5628B">
      <w:pPr>
        <w:pStyle w:val="ListParagraph"/>
        <w:numPr>
          <w:ilvl w:val="0"/>
          <w:numId w:val="3"/>
        </w:numPr>
        <w:spacing w:line="240" w:lineRule="auto"/>
      </w:pPr>
      <w:r>
        <w:t xml:space="preserve">1 Sr. Recruiter </w:t>
      </w:r>
    </w:p>
    <w:p w14:paraId="320A28AF" w14:textId="6CDC25FE" w:rsidR="00C5628B" w:rsidRDefault="00C5628B" w:rsidP="00C5628B">
      <w:pPr>
        <w:pStyle w:val="ListParagraph"/>
        <w:numPr>
          <w:ilvl w:val="0"/>
          <w:numId w:val="3"/>
        </w:numPr>
        <w:spacing w:line="240" w:lineRule="auto"/>
      </w:pPr>
      <w:r>
        <w:t xml:space="preserve">1 Jr. Recruiter/Coordinator </w:t>
      </w:r>
    </w:p>
    <w:p w14:paraId="53BC0EF7" w14:textId="70780FBE" w:rsidR="00C5628B" w:rsidRDefault="00AA4F31" w:rsidP="00C5628B">
      <w:pPr>
        <w:pStyle w:val="ListParagraph"/>
        <w:numPr>
          <w:ilvl w:val="0"/>
          <w:numId w:val="3"/>
        </w:numPr>
        <w:spacing w:line="240" w:lineRule="auto"/>
      </w:pPr>
      <w:r>
        <w:t>2</w:t>
      </w:r>
      <w:r w:rsidR="00C5628B">
        <w:t xml:space="preserve"> Researcher</w:t>
      </w:r>
      <w:r>
        <w:t>s</w:t>
      </w:r>
      <w:r w:rsidR="00C5628B">
        <w:t xml:space="preserve"> </w:t>
      </w:r>
    </w:p>
    <w:p w14:paraId="4CFFF12D" w14:textId="77777777" w:rsidR="00787109" w:rsidRDefault="00787109" w:rsidP="00C5628B">
      <w:pPr>
        <w:spacing w:line="240" w:lineRule="auto"/>
      </w:pPr>
    </w:p>
    <w:p w14:paraId="138689E5" w14:textId="77777777" w:rsidR="00787109" w:rsidRDefault="00787109" w:rsidP="00C5628B">
      <w:pPr>
        <w:spacing w:line="240" w:lineRule="auto"/>
      </w:pPr>
    </w:p>
    <w:p w14:paraId="2B64DCED" w14:textId="77777777" w:rsidR="00787109" w:rsidRPr="00787109" w:rsidRDefault="00787109" w:rsidP="00787109">
      <w:pPr>
        <w:spacing w:line="240" w:lineRule="auto"/>
        <w:rPr>
          <w:b/>
          <w:bCs/>
        </w:rPr>
      </w:pPr>
      <w:r>
        <w:rPr>
          <w:b/>
          <w:bCs/>
        </w:rPr>
        <w:t>Hybrid RPO Timeline</w:t>
      </w:r>
    </w:p>
    <w:p w14:paraId="49409210" w14:textId="11D42B1C" w:rsidR="00787109" w:rsidRDefault="00C5628B" w:rsidP="00C5628B">
      <w:pPr>
        <w:spacing w:line="240" w:lineRule="auto"/>
      </w:pPr>
      <w:r>
        <w:t xml:space="preserve">In a Hybrid RPO, the final stages of the recruiting process are handled by your internal talent team. </w:t>
      </w:r>
    </w:p>
    <w:p w14:paraId="62BAB560" w14:textId="3F6F3ED8" w:rsidR="00C5628B" w:rsidRDefault="00C5628B" w:rsidP="00C5628B">
      <w:pPr>
        <w:spacing w:line="240" w:lineRule="auto"/>
      </w:pPr>
      <w:r>
        <w:lastRenderedPageBreak/>
        <w:t xml:space="preserve">The project timeline is largest </w:t>
      </w:r>
      <w:r w:rsidR="00AA4F31">
        <w:t>dependent</w:t>
      </w:r>
      <w:r>
        <w:t xml:space="preserve"> on their ability to </w:t>
      </w:r>
      <w:r w:rsidR="00AA4F31">
        <w:t xml:space="preserve">handle the increased volume of interviewing, negotiating, and on-boarding. </w:t>
      </w:r>
      <w:r w:rsidR="00787109">
        <w:t>T</w:t>
      </w:r>
      <w:r w:rsidR="00AA4F31">
        <w:t>he current team has averaged 40 new hires per year. We believe</w:t>
      </w:r>
      <w:r w:rsidR="00787109">
        <w:t xml:space="preserve">, with our support, </w:t>
      </w:r>
      <w:r w:rsidR="00AA4F31">
        <w:t xml:space="preserve">we could reach 100 new hires in 12-16 months. </w:t>
      </w:r>
    </w:p>
    <w:p w14:paraId="3277D514" w14:textId="4DDAECFC" w:rsidR="00AA4F31" w:rsidRPr="00787109" w:rsidRDefault="00AA4F31" w:rsidP="00C5628B">
      <w:pPr>
        <w:spacing w:line="240" w:lineRule="auto"/>
        <w:rPr>
          <w:b/>
          <w:bCs/>
        </w:rPr>
      </w:pPr>
      <w:r w:rsidRPr="00787109">
        <w:rPr>
          <w:b/>
          <w:bCs/>
        </w:rPr>
        <w:t>Investment</w:t>
      </w:r>
    </w:p>
    <w:p w14:paraId="62C25C88" w14:textId="05C8F69B" w:rsidR="00AA4F31" w:rsidRDefault="00AA4F31" w:rsidP="00C5628B">
      <w:pPr>
        <w:spacing w:line="240" w:lineRule="auto"/>
      </w:pPr>
      <w:r>
        <w:t>The Hybrid RPO model is designed to encourage speed and reward efficiency. It requires an investment of $</w:t>
      </w:r>
      <w:r w:rsidR="00A51046">
        <w:t>9</w:t>
      </w:r>
      <w:r>
        <w:t>,</w:t>
      </w:r>
      <w:r w:rsidR="00A51046">
        <w:t>6</w:t>
      </w:r>
      <w:r>
        <w:t>00 per month + a 10% Success Fee for each candidate hired. Each placement is subject to backfill if they separate from the firm with 90 days of hire.</w:t>
      </w:r>
    </w:p>
    <w:p w14:paraId="6490D55F" w14:textId="2DEB4EA5" w:rsidR="00AA4F31" w:rsidRDefault="00AA4F31" w:rsidP="00AA4F31">
      <w:pPr>
        <w:spacing w:line="240" w:lineRule="auto"/>
      </w:pPr>
      <w:r>
        <w:t>For 100 FTE, the annual anticipated</w:t>
      </w:r>
      <w:r w:rsidR="00A51046">
        <w:t xml:space="preserve"> annual</w:t>
      </w:r>
      <w:r>
        <w:t xml:space="preserve"> investment: (Current Hiring Team = $527,000)</w:t>
      </w:r>
      <w:r w:rsidR="00E64550">
        <w:t xml:space="preserve"> + (HCD 60 placements @ 1</w:t>
      </w:r>
      <w:r w:rsidR="00941C85">
        <w:t>0,600</w:t>
      </w:r>
      <w:r w:rsidR="00E64550">
        <w:t xml:space="preserve"> each + </w:t>
      </w:r>
      <w:r w:rsidR="00941C85">
        <w:t>Retainer</w:t>
      </w:r>
      <w:r w:rsidR="00E64550">
        <w:t>) =</w:t>
      </w:r>
      <w:r>
        <w:t xml:space="preserve"> $1,</w:t>
      </w:r>
      <w:r w:rsidR="00A51046">
        <w:t>302</w:t>
      </w:r>
      <w:r w:rsidR="00E64550">
        <w:t>,000.00</w:t>
      </w:r>
    </w:p>
    <w:p w14:paraId="154A49CF" w14:textId="77777777" w:rsidR="00D71B40" w:rsidRDefault="00D71B40" w:rsidP="00AA4F31">
      <w:pPr>
        <w:spacing w:line="240" w:lineRule="auto"/>
      </w:pPr>
    </w:p>
    <w:p w14:paraId="7727A2CA" w14:textId="77777777" w:rsidR="00D71B40" w:rsidRDefault="00D71B40" w:rsidP="00D71B40">
      <w:pPr>
        <w:spacing w:line="240" w:lineRule="auto"/>
      </w:pPr>
      <w:r w:rsidRPr="006C39C8">
        <w:rPr>
          <w:highlight w:val="yellow"/>
        </w:rPr>
        <w:t>PAGE BREAK</w:t>
      </w:r>
    </w:p>
    <w:p w14:paraId="3D4E127A" w14:textId="77777777" w:rsidR="00D71B40" w:rsidRDefault="00D71B40" w:rsidP="00AA4F31">
      <w:pPr>
        <w:spacing w:line="240" w:lineRule="auto"/>
      </w:pPr>
    </w:p>
    <w:p w14:paraId="0513D2F6" w14:textId="0D37525C" w:rsidR="00AA4F31" w:rsidRDefault="0067493D" w:rsidP="00C5628B">
      <w:pPr>
        <w:spacing w:line="240" w:lineRule="auto"/>
        <w:rPr>
          <w:b/>
          <w:bCs/>
          <w:u w:val="single"/>
        </w:rPr>
      </w:pPr>
      <w:r>
        <w:rPr>
          <w:b/>
          <w:bCs/>
          <w:u w:val="single"/>
        </w:rPr>
        <w:t xml:space="preserve">HCD Solution - </w:t>
      </w:r>
      <w:r w:rsidR="00E64550" w:rsidRPr="00E64550">
        <w:rPr>
          <w:b/>
          <w:bCs/>
          <w:u w:val="single"/>
        </w:rPr>
        <w:t>Talent Acquisition as a Service (</w:t>
      </w:r>
      <w:proofErr w:type="spellStart"/>
      <w:r w:rsidR="00E64550" w:rsidRPr="00E64550">
        <w:rPr>
          <w:b/>
          <w:bCs/>
          <w:u w:val="single"/>
        </w:rPr>
        <w:t>TAaaS</w:t>
      </w:r>
      <w:proofErr w:type="spellEnd"/>
      <w:r w:rsidR="00E64550" w:rsidRPr="00E64550">
        <w:rPr>
          <w:b/>
          <w:bCs/>
          <w:u w:val="single"/>
        </w:rPr>
        <w:t>)</w:t>
      </w:r>
    </w:p>
    <w:p w14:paraId="02D75007" w14:textId="53207E60" w:rsidR="00E64550" w:rsidRDefault="00E64550" w:rsidP="00E64550">
      <w:pPr>
        <w:spacing w:line="240" w:lineRule="auto"/>
      </w:pPr>
      <w:r>
        <w:t>Talent Acquisition as a Service (</w:t>
      </w:r>
      <w:proofErr w:type="spellStart"/>
      <w:r>
        <w:t>TAaaS</w:t>
      </w:r>
      <w:proofErr w:type="spellEnd"/>
      <w:r>
        <w:t>) is designed for client</w:t>
      </w:r>
      <w:r w:rsidR="00787109">
        <w:t>s who are</w:t>
      </w:r>
      <w:r>
        <w:t xml:space="preserve"> interested in leveraging HCD’s talent acquisition best practices and industry experience to revamp the</w:t>
      </w:r>
      <w:r w:rsidR="0067493D">
        <w:t xml:space="preserve">ir </w:t>
      </w:r>
      <w:r w:rsidR="00A51046">
        <w:t>entire recruiting practice.</w:t>
      </w:r>
      <w:r w:rsidR="00787109">
        <w:t xml:space="preserve"> More than simple candidate delivery, </w:t>
      </w:r>
      <w:proofErr w:type="spellStart"/>
      <w:r w:rsidR="00787109">
        <w:t>TAaaS</w:t>
      </w:r>
      <w:proofErr w:type="spellEnd"/>
      <w:r w:rsidR="00A51046">
        <w:t xml:space="preserve"> includes strategy consulting, best practices integration, candidate experience management, and online reputation management</w:t>
      </w:r>
      <w:r>
        <w:t>.</w:t>
      </w:r>
    </w:p>
    <w:p w14:paraId="7FF0C805" w14:textId="1A7E240C" w:rsidR="00E64550" w:rsidRDefault="00E64550" w:rsidP="00E64550">
      <w:pPr>
        <w:spacing w:line="240" w:lineRule="auto"/>
      </w:pPr>
      <w:r>
        <w:t xml:space="preserve">With </w:t>
      </w:r>
      <w:proofErr w:type="spellStart"/>
      <w:r>
        <w:t>TAaaS</w:t>
      </w:r>
      <w:proofErr w:type="spellEnd"/>
      <w:r>
        <w:t>, the HCD team is responsible for all aspects of the recruiting pipeline,</w:t>
      </w:r>
      <w:r w:rsidR="00564BA7">
        <w:t xml:space="preserve"> including internal referral management, database management, negotiations, and scheduling. This total approach leaves </w:t>
      </w:r>
      <w:r>
        <w:t xml:space="preserve">your hiring managers free to do what they do best – address client needs. We are also committed to </w:t>
      </w:r>
      <w:r w:rsidR="00AF2C54">
        <w:t>briefing the executive team on key metrics on a by</w:t>
      </w:r>
      <w:r w:rsidR="00564BA7">
        <w:t>-</w:t>
      </w:r>
      <w:r w:rsidR="00AF2C54">
        <w:t>weekly basis, to ensure full transparency.</w:t>
      </w:r>
      <w:r w:rsidR="00564BA7">
        <w:t xml:space="preserve"> Lastly, </w:t>
      </w:r>
      <w:r w:rsidR="00AF2C54">
        <w:t xml:space="preserve">all candidate data collected as part of the campaign remains with you for future use. </w:t>
      </w:r>
    </w:p>
    <w:p w14:paraId="17A578E1" w14:textId="3B6F4CB2" w:rsidR="0067493D" w:rsidRDefault="0067493D" w:rsidP="0067493D">
      <w:pPr>
        <w:spacing w:line="240" w:lineRule="auto"/>
      </w:pPr>
      <w:r>
        <w:t>We w</w:t>
      </w:r>
      <w:r w:rsidR="00564BA7">
        <w:t>ill w</w:t>
      </w:r>
      <w:r>
        <w:t xml:space="preserve">ork with your team to implementation of a customized candidate engagement model that attracts top talent through data-informed messaging campaigns, engages them with state-of-the-art screening and interviewing technologies, and ensure a fluid candidate experience from interview to offer. </w:t>
      </w:r>
    </w:p>
    <w:p w14:paraId="2590D2C1" w14:textId="77777777" w:rsidR="00D71B40" w:rsidRDefault="00D71B40" w:rsidP="00AF2C54">
      <w:pPr>
        <w:spacing w:line="240" w:lineRule="auto"/>
      </w:pPr>
    </w:p>
    <w:p w14:paraId="65C017DB" w14:textId="77777777" w:rsidR="00D71B40" w:rsidRDefault="00D71B40" w:rsidP="00D71B40">
      <w:pPr>
        <w:spacing w:line="240" w:lineRule="auto"/>
      </w:pPr>
      <w:r w:rsidRPr="006C39C8">
        <w:rPr>
          <w:highlight w:val="yellow"/>
        </w:rPr>
        <w:t>PAGE BREAK</w:t>
      </w:r>
    </w:p>
    <w:p w14:paraId="01599BF1" w14:textId="77777777" w:rsidR="00D71B40" w:rsidRDefault="00D71B40" w:rsidP="00AF2C54">
      <w:pPr>
        <w:spacing w:line="240" w:lineRule="auto"/>
      </w:pPr>
    </w:p>
    <w:p w14:paraId="16FB2C17" w14:textId="50F2B941" w:rsidR="00E37290" w:rsidRPr="00E37290" w:rsidRDefault="00E37290" w:rsidP="00AF2C54">
      <w:pPr>
        <w:spacing w:line="240" w:lineRule="auto"/>
        <w:rPr>
          <w:b/>
          <w:bCs/>
          <w:u w:val="single"/>
        </w:rPr>
      </w:pPr>
      <w:proofErr w:type="spellStart"/>
      <w:r w:rsidRPr="00E37290">
        <w:rPr>
          <w:b/>
          <w:bCs/>
          <w:u w:val="single"/>
        </w:rPr>
        <w:t>TAaa</w:t>
      </w:r>
      <w:r w:rsidR="003D04F1">
        <w:rPr>
          <w:b/>
          <w:bCs/>
          <w:u w:val="single"/>
        </w:rPr>
        <w:t>S</w:t>
      </w:r>
      <w:proofErr w:type="spellEnd"/>
      <w:r w:rsidRPr="00E37290">
        <w:rPr>
          <w:b/>
          <w:bCs/>
          <w:u w:val="single"/>
        </w:rPr>
        <w:t xml:space="preserve"> Recruitment Process</w:t>
      </w:r>
    </w:p>
    <w:p w14:paraId="08D6EE2C" w14:textId="6C141F63" w:rsidR="00E37290" w:rsidRDefault="00E37290" w:rsidP="00AF2C54">
      <w:pPr>
        <w:spacing w:line="240" w:lineRule="auto"/>
      </w:pPr>
      <w:r>
        <w:t xml:space="preserve">We have spent considerable time learning about Intecrowd’s unique talent needs. The competitive nature of the ERP consulting space, along with the rapid adoption of </w:t>
      </w:r>
      <w:r w:rsidR="00D32C06">
        <w:t xml:space="preserve">the </w:t>
      </w:r>
      <w:r>
        <w:t>Wor</w:t>
      </w:r>
      <w:r w:rsidR="003D04F1">
        <w:t>kday</w:t>
      </w:r>
      <w:r w:rsidR="00D32C06">
        <w:t xml:space="preserve"> offering</w:t>
      </w:r>
      <w:r w:rsidR="003D04F1">
        <w:t>,</w:t>
      </w:r>
      <w:r>
        <w:t xml:space="preserve"> has created a tight labor market that both favors candidates and rewards</w:t>
      </w:r>
      <w:r w:rsidR="003D04F1">
        <w:t xml:space="preserve"> your competitors</w:t>
      </w:r>
      <w:r>
        <w:t xml:space="preserve"> high-performing talent acquisition teams. </w:t>
      </w:r>
      <w:r w:rsidR="003D04F1">
        <w:t xml:space="preserve">Top consultants can command higher wages and seasoned firms can capture market share by hiring more efficiently than their newer competitors. </w:t>
      </w:r>
      <w:r>
        <w:t xml:space="preserve">As a result, capturing 100 </w:t>
      </w:r>
      <w:r w:rsidR="0067493D">
        <w:t>FTE</w:t>
      </w:r>
      <w:r>
        <w:t xml:space="preserve"> by </w:t>
      </w:r>
      <w:r w:rsidR="00564BA7">
        <w:t>October</w:t>
      </w:r>
      <w:r>
        <w:t xml:space="preserve"> 2020 will requires a firm-wide willingness to embrace new processes and implement new strategies that might have previously gone overlooked.</w:t>
      </w:r>
    </w:p>
    <w:p w14:paraId="6ACCC124" w14:textId="3863C07E" w:rsidR="00E37290" w:rsidRDefault="003D04F1" w:rsidP="00AF2C54">
      <w:pPr>
        <w:spacing w:line="240" w:lineRule="auto"/>
      </w:pPr>
      <w:r>
        <w:t xml:space="preserve">Through an integrated </w:t>
      </w:r>
      <w:proofErr w:type="spellStart"/>
      <w:r>
        <w:t>T</w:t>
      </w:r>
      <w:r w:rsidR="00D32C06">
        <w:t>A</w:t>
      </w:r>
      <w:r>
        <w:t>aaS</w:t>
      </w:r>
      <w:proofErr w:type="spellEnd"/>
      <w:r>
        <w:t xml:space="preserve"> approach, we aim to:</w:t>
      </w:r>
    </w:p>
    <w:p w14:paraId="19FED2B0" w14:textId="137F276E" w:rsidR="00E37290" w:rsidRDefault="00E37290" w:rsidP="00E37290">
      <w:pPr>
        <w:pStyle w:val="ListParagraph"/>
        <w:numPr>
          <w:ilvl w:val="0"/>
          <w:numId w:val="4"/>
        </w:numPr>
        <w:spacing w:line="240" w:lineRule="auto"/>
      </w:pPr>
      <w:r w:rsidRPr="0067493D">
        <w:rPr>
          <w:b/>
          <w:bCs/>
        </w:rPr>
        <w:lastRenderedPageBreak/>
        <w:t>Increase consistency of hire</w:t>
      </w:r>
      <w:r>
        <w:t xml:space="preserve"> by </w:t>
      </w:r>
      <w:r w:rsidR="003D04F1">
        <w:t>centralizing</w:t>
      </w:r>
      <w:r>
        <w:t xml:space="preserve"> the hiring decision </w:t>
      </w:r>
      <w:r w:rsidR="003D04F1">
        <w:t>within</w:t>
      </w:r>
      <w:r>
        <w:t xml:space="preserve"> a core Agile Hiring Team</w:t>
      </w:r>
    </w:p>
    <w:p w14:paraId="75699907" w14:textId="69FD4361" w:rsidR="003D04F1" w:rsidRDefault="00E37290" w:rsidP="00E37290">
      <w:pPr>
        <w:pStyle w:val="ListParagraph"/>
        <w:numPr>
          <w:ilvl w:val="0"/>
          <w:numId w:val="4"/>
        </w:numPr>
        <w:spacing w:line="240" w:lineRule="auto"/>
      </w:pPr>
      <w:r w:rsidRPr="0067493D">
        <w:rPr>
          <w:b/>
          <w:bCs/>
        </w:rPr>
        <w:t>Reduce Time-to-Hire</w:t>
      </w:r>
      <w:r>
        <w:t xml:space="preserve"> by </w:t>
      </w:r>
      <w:r w:rsidR="003D04F1">
        <w:t xml:space="preserve">streamlining </w:t>
      </w:r>
      <w:r>
        <w:t xml:space="preserve">the interview/screening process </w:t>
      </w:r>
      <w:r w:rsidR="003D04F1">
        <w:t>(video interviews, XOR for scheduling)</w:t>
      </w:r>
    </w:p>
    <w:p w14:paraId="6B4898FA" w14:textId="39FE1952" w:rsidR="003D04F1" w:rsidRDefault="003D04F1" w:rsidP="003D04F1">
      <w:pPr>
        <w:pStyle w:val="ListParagraph"/>
        <w:numPr>
          <w:ilvl w:val="0"/>
          <w:numId w:val="4"/>
        </w:numPr>
        <w:spacing w:line="240" w:lineRule="auto"/>
      </w:pPr>
      <w:r w:rsidRPr="0067493D">
        <w:rPr>
          <w:b/>
          <w:bCs/>
        </w:rPr>
        <w:t>Control cost</w:t>
      </w:r>
      <w:r>
        <w:t xml:space="preserve"> by focusing on “technical talent opportunity zones” – areas of the country with high populations of college educated professionals, yet a lower cost of living compared to major metro areas like L.A., New York, and Washington, DC. </w:t>
      </w:r>
      <w:r w:rsidR="00E37290">
        <w:t xml:space="preserve"> </w:t>
      </w:r>
    </w:p>
    <w:p w14:paraId="641E27D8" w14:textId="00224199" w:rsidR="003D04F1" w:rsidRDefault="003D04F1" w:rsidP="003D04F1">
      <w:pPr>
        <w:pStyle w:val="ListParagraph"/>
        <w:numPr>
          <w:ilvl w:val="0"/>
          <w:numId w:val="4"/>
        </w:numPr>
        <w:spacing w:line="240" w:lineRule="auto"/>
      </w:pPr>
      <w:r w:rsidRPr="0067493D">
        <w:rPr>
          <w:b/>
          <w:bCs/>
        </w:rPr>
        <w:t>Improve diversity of thought</w:t>
      </w:r>
      <w:r>
        <w:t xml:space="preserve"> by capturing experienced ERP consultants who have years of client-facing experience, but who have not had the chance to learn the Workday platform. </w:t>
      </w:r>
    </w:p>
    <w:p w14:paraId="589231B5" w14:textId="017B86FC" w:rsidR="00D71B40" w:rsidRDefault="00D71B40" w:rsidP="00D71B40">
      <w:pPr>
        <w:spacing w:line="240" w:lineRule="auto"/>
      </w:pPr>
      <w:r w:rsidRPr="00D71B40">
        <w:rPr>
          <w:highlight w:val="yellow"/>
        </w:rPr>
        <w:t>PAGE BREAK</w:t>
      </w:r>
    </w:p>
    <w:p w14:paraId="7AF631E8" w14:textId="16F14C6E" w:rsidR="001E234D" w:rsidRDefault="002E0FF8" w:rsidP="00D71B40">
      <w:pPr>
        <w:spacing w:line="240" w:lineRule="auto"/>
        <w:rPr>
          <w:b/>
          <w:bCs/>
          <w:u w:val="single"/>
        </w:rPr>
      </w:pPr>
      <w:r>
        <w:rPr>
          <w:b/>
          <w:bCs/>
          <w:u w:val="single"/>
        </w:rPr>
        <w:t xml:space="preserve">Opportunities for Efficiency </w:t>
      </w:r>
      <w:r w:rsidR="001E234D">
        <w:rPr>
          <w:b/>
          <w:bCs/>
          <w:u w:val="single"/>
        </w:rPr>
        <w:t xml:space="preserve"> </w:t>
      </w:r>
    </w:p>
    <w:p w14:paraId="50999A53" w14:textId="1B975D4D" w:rsidR="001E234D" w:rsidRDefault="001E234D" w:rsidP="00D71B40">
      <w:pPr>
        <w:spacing w:line="240" w:lineRule="auto"/>
      </w:pPr>
      <w:r>
        <w:t xml:space="preserve">Through our explorations into Intecrowd’s hiring process, we have identified </w:t>
      </w:r>
      <w:r w:rsidR="00A21871">
        <w:t xml:space="preserve">three </w:t>
      </w:r>
      <w:r>
        <w:t>opportunities for increased efficiency that we believe will prove successful on the project:</w:t>
      </w:r>
    </w:p>
    <w:p w14:paraId="393E64A5" w14:textId="18A41AFB" w:rsidR="001E234D" w:rsidRDefault="001E234D" w:rsidP="001E234D">
      <w:pPr>
        <w:pStyle w:val="ListParagraph"/>
        <w:numPr>
          <w:ilvl w:val="0"/>
          <w:numId w:val="7"/>
        </w:numPr>
        <w:spacing w:line="240" w:lineRule="auto"/>
      </w:pPr>
      <w:r w:rsidRPr="002E0FF8">
        <w:rPr>
          <w:b/>
          <w:bCs/>
        </w:rPr>
        <w:t>Establishment of an Agile Hiring Team (AHT):</w:t>
      </w:r>
      <w:r>
        <w:t xml:space="preserve"> A relatively new practice in recruiting, an Agile Hiring Team consists of a diverse group of leaders and team members from throughout the company. Together, they develop a common interview methodology that is can be deployed reliably. By finding consensus, the AHT reduces the likelihoo</w:t>
      </w:r>
      <w:r w:rsidR="00A21871">
        <w:t xml:space="preserve">d that qualified candidates slip through the cracks. Each candidate is evaluated on by the same criteria and is exposed to multiple decision makers, which reduces bias and increase quality. </w:t>
      </w:r>
    </w:p>
    <w:p w14:paraId="5A1A070B" w14:textId="18E30B65" w:rsidR="00A21871" w:rsidRDefault="00A21871" w:rsidP="00A21871">
      <w:pPr>
        <w:spacing w:line="240" w:lineRule="auto"/>
        <w:ind w:left="720"/>
      </w:pPr>
      <w:r>
        <w:t xml:space="preserve">Members of the agile hiring team often rotate quarterly, to avoid burnout and allow for cross-training. </w:t>
      </w:r>
    </w:p>
    <w:p w14:paraId="46B73077" w14:textId="66D4A8BF" w:rsidR="00A21871" w:rsidRDefault="00A21871" w:rsidP="00A21871">
      <w:pPr>
        <w:pStyle w:val="ListParagraph"/>
        <w:numPr>
          <w:ilvl w:val="0"/>
          <w:numId w:val="7"/>
        </w:numPr>
        <w:spacing w:line="240" w:lineRule="auto"/>
      </w:pPr>
      <w:r w:rsidRPr="002E0FF8">
        <w:rPr>
          <w:b/>
          <w:bCs/>
        </w:rPr>
        <w:t>AI-powered candidate identification:</w:t>
      </w:r>
      <w:r>
        <w:t xml:space="preserve"> Intecrowd is in a unique position in that, regardless of the Workday module supported, the profile of the ideal candidate does not change drastically between departments. This results in a consistency that is well suited for an AI-enabled tool that HCD currently uses called Arya. As we continue to feed data into the system as to what is and is not a qualified Workday consultant, the tool will become increasingly more effective at candidate identification. This efficiency </w:t>
      </w:r>
      <w:r w:rsidR="00564BA7">
        <w:t>will</w:t>
      </w:r>
      <w:r>
        <w:t xml:space="preserve"> help to drive down time-to-hire </w:t>
      </w:r>
      <w:r w:rsidR="00564BA7">
        <w:t>over time</w:t>
      </w:r>
      <w:r>
        <w:t>.</w:t>
      </w:r>
    </w:p>
    <w:p w14:paraId="6C09B906" w14:textId="77777777" w:rsidR="00A21871" w:rsidRDefault="00A21871" w:rsidP="00A21871">
      <w:pPr>
        <w:pStyle w:val="ListParagraph"/>
        <w:spacing w:line="240" w:lineRule="auto"/>
      </w:pPr>
    </w:p>
    <w:p w14:paraId="78CBD0F3" w14:textId="3FF79F59" w:rsidR="00A21871" w:rsidRDefault="00A21871" w:rsidP="00A21871">
      <w:pPr>
        <w:pStyle w:val="ListParagraph"/>
        <w:numPr>
          <w:ilvl w:val="0"/>
          <w:numId w:val="7"/>
        </w:numPr>
        <w:spacing w:line="240" w:lineRule="auto"/>
      </w:pPr>
      <w:r w:rsidRPr="002E0FF8">
        <w:rPr>
          <w:b/>
          <w:bCs/>
        </w:rPr>
        <w:t>Recorded First Round Interviews:</w:t>
      </w:r>
      <w:r>
        <w:t xml:space="preserve"> In our experience, there is often little difference between the first phone screen conducted by a hiring manager and the phone screen conducted by a senior recruiter. The real exploration comes in the second and third round interviews. For that reason, HCD has developed the practice of conducting recorded video interviews whenever possible and sharing these interviews with hiring managers. The results are impressive: managers </w:t>
      </w:r>
      <w:proofErr w:type="gramStart"/>
      <w:r>
        <w:t>are able to</w:t>
      </w:r>
      <w:proofErr w:type="gramEnd"/>
      <w:r>
        <w:t xml:space="preserve"> save time by watching the interviews at their convenience and the whole process is expedited because a client phone screen is often unnecessary. </w:t>
      </w:r>
    </w:p>
    <w:p w14:paraId="7E32D6EF" w14:textId="77777777" w:rsidR="002E0FF8" w:rsidRDefault="002E0FF8" w:rsidP="002E0FF8">
      <w:pPr>
        <w:pStyle w:val="ListParagraph"/>
      </w:pPr>
    </w:p>
    <w:p w14:paraId="19A8DCFF" w14:textId="3A8FE407" w:rsidR="002E0FF8" w:rsidRPr="001E234D" w:rsidRDefault="002E0FF8" w:rsidP="00A21871">
      <w:pPr>
        <w:pStyle w:val="ListParagraph"/>
        <w:numPr>
          <w:ilvl w:val="0"/>
          <w:numId w:val="7"/>
        </w:numPr>
        <w:spacing w:line="240" w:lineRule="auto"/>
      </w:pPr>
      <w:r w:rsidRPr="002E0FF8">
        <w:rPr>
          <w:b/>
          <w:bCs/>
        </w:rPr>
        <w:t>Technology Talent Opportunity Zones</w:t>
      </w:r>
      <w:r>
        <w:t>: HCD has partnered with LinkedIn to gain insight into migration trends for college</w:t>
      </w:r>
      <w:r w:rsidR="00564BA7">
        <w:t>-</w:t>
      </w:r>
      <w:r>
        <w:t xml:space="preserve">educated professionals that match Intecrowd’s ideal candidate profile. Should you wish to do so, we can tailor our recruiting efforts to focus on areas where there is a growing number of educated professionals and a much lower cost of living. By doing so, we will likely be able to reduce the cost of each new hire significantly, particularly when </w:t>
      </w:r>
      <w:r w:rsidR="00564BA7">
        <w:t>hiring</w:t>
      </w:r>
      <w:r>
        <w:t xml:space="preserve"> for Jr. Consultants. </w:t>
      </w:r>
    </w:p>
    <w:p w14:paraId="410ADB77" w14:textId="77777777" w:rsidR="00D71B40" w:rsidRDefault="00D71B40" w:rsidP="003D04F1">
      <w:pPr>
        <w:spacing w:line="240" w:lineRule="auto"/>
        <w:rPr>
          <w:b/>
          <w:bCs/>
          <w:u w:val="single"/>
        </w:rPr>
      </w:pPr>
    </w:p>
    <w:p w14:paraId="3D3B2D93" w14:textId="4EA7A4A9" w:rsidR="003D04F1" w:rsidRPr="00D71B40" w:rsidRDefault="003D04F1" w:rsidP="003D04F1">
      <w:pPr>
        <w:spacing w:line="240" w:lineRule="auto"/>
        <w:rPr>
          <w:b/>
          <w:bCs/>
          <w:u w:val="single"/>
        </w:rPr>
      </w:pPr>
      <w:r w:rsidRPr="00D71B40">
        <w:rPr>
          <w:b/>
          <w:bCs/>
          <w:u w:val="single"/>
        </w:rPr>
        <w:lastRenderedPageBreak/>
        <w:t>Sample Recruiting Process</w:t>
      </w:r>
      <w:r w:rsidR="00D71B40">
        <w:rPr>
          <w:b/>
          <w:bCs/>
          <w:u w:val="single"/>
        </w:rPr>
        <w:t xml:space="preserve"> (</w:t>
      </w:r>
      <w:r w:rsidR="00D32C06">
        <w:rPr>
          <w:b/>
          <w:bCs/>
          <w:u w:val="single"/>
        </w:rPr>
        <w:t xml:space="preserve">DESIGNER: </w:t>
      </w:r>
      <w:r w:rsidR="00D71B40">
        <w:rPr>
          <w:b/>
          <w:bCs/>
          <w:u w:val="single"/>
        </w:rPr>
        <w:t xml:space="preserve">PLEASE TURN INTO GRAPHIC OR USE PICTURES FOR EACH </w:t>
      </w:r>
      <w:proofErr w:type="gramStart"/>
      <w:r w:rsidR="00D71B40">
        <w:rPr>
          <w:b/>
          <w:bCs/>
          <w:u w:val="single"/>
        </w:rPr>
        <w:t>STAGE</w:t>
      </w:r>
      <w:r w:rsidR="00D32C06">
        <w:rPr>
          <w:b/>
          <w:bCs/>
          <w:u w:val="single"/>
        </w:rPr>
        <w:t xml:space="preserve">  AND</w:t>
      </w:r>
      <w:proofErr w:type="gramEnd"/>
      <w:r w:rsidR="00D32C06">
        <w:rPr>
          <w:b/>
          <w:bCs/>
          <w:u w:val="single"/>
        </w:rPr>
        <w:t xml:space="preserve"> ALLOW ROOM FOR 1-2 SENTENCES WITH EACH POINT</w:t>
      </w:r>
      <w:r w:rsidR="00D71B40">
        <w:rPr>
          <w:b/>
          <w:bCs/>
          <w:u w:val="single"/>
        </w:rPr>
        <w:t>)</w:t>
      </w:r>
    </w:p>
    <w:p w14:paraId="18E6A8B1" w14:textId="1FB9CF89" w:rsidR="003D04F1" w:rsidRDefault="003D04F1" w:rsidP="003D04F1">
      <w:pPr>
        <w:pStyle w:val="ListParagraph"/>
        <w:numPr>
          <w:ilvl w:val="0"/>
          <w:numId w:val="5"/>
        </w:numPr>
        <w:spacing w:line="240" w:lineRule="auto"/>
      </w:pPr>
      <w:r>
        <w:t xml:space="preserve">Candidate Identification &amp; Messaging </w:t>
      </w:r>
    </w:p>
    <w:p w14:paraId="365B7045" w14:textId="10FEDD79" w:rsidR="0067493D" w:rsidRDefault="0067493D" w:rsidP="0067493D">
      <w:pPr>
        <w:pStyle w:val="ListParagraph"/>
        <w:numPr>
          <w:ilvl w:val="1"/>
          <w:numId w:val="5"/>
        </w:numPr>
        <w:spacing w:line="240" w:lineRule="auto"/>
      </w:pPr>
      <w:r>
        <w:t xml:space="preserve">Candidates sourced from multiple </w:t>
      </w:r>
      <w:r w:rsidR="001E234D">
        <w:t>avenues</w:t>
      </w:r>
      <w:r>
        <w:t xml:space="preserve">, including LinkedIn, Dice, </w:t>
      </w:r>
      <w:proofErr w:type="spellStart"/>
      <w:r>
        <w:t>ClearanceJobs</w:t>
      </w:r>
      <w:proofErr w:type="spellEnd"/>
      <w:r>
        <w:t xml:space="preserve">, Monster, Indeed, Facebook, </w:t>
      </w:r>
      <w:r w:rsidR="001E234D">
        <w:t xml:space="preserve">and GitHub, as well at 20+ job boards. </w:t>
      </w:r>
    </w:p>
    <w:p w14:paraId="0CA4B420" w14:textId="7E5C27D0" w:rsidR="001E234D" w:rsidRDefault="001E234D" w:rsidP="0067493D">
      <w:pPr>
        <w:pStyle w:val="ListParagraph"/>
        <w:numPr>
          <w:ilvl w:val="1"/>
          <w:numId w:val="5"/>
        </w:numPr>
        <w:spacing w:line="240" w:lineRule="auto"/>
      </w:pPr>
      <w:r>
        <w:t>Automated drip campaigns are created for each candidate, insuring 7-10 touch points (call, text, and email) and allowing for candidate nurturing over time.</w:t>
      </w:r>
    </w:p>
    <w:p w14:paraId="243A7CB2" w14:textId="5D4B35E4" w:rsidR="003D04F1" w:rsidRDefault="003D04F1" w:rsidP="003D04F1">
      <w:pPr>
        <w:pStyle w:val="ListParagraph"/>
        <w:numPr>
          <w:ilvl w:val="0"/>
          <w:numId w:val="5"/>
        </w:numPr>
        <w:spacing w:line="240" w:lineRule="auto"/>
      </w:pPr>
      <w:r>
        <w:t xml:space="preserve">Screen for Basics </w:t>
      </w:r>
    </w:p>
    <w:p w14:paraId="295F46A5" w14:textId="238B84C9" w:rsidR="001E234D" w:rsidRDefault="001E234D" w:rsidP="001E234D">
      <w:pPr>
        <w:pStyle w:val="ListParagraph"/>
        <w:numPr>
          <w:ilvl w:val="1"/>
          <w:numId w:val="5"/>
        </w:numPr>
        <w:spacing w:line="240" w:lineRule="auto"/>
      </w:pPr>
      <w:r>
        <w:t>Potential candidates are screened by researchers for Education, Experience, and Economics (salary fit).</w:t>
      </w:r>
    </w:p>
    <w:p w14:paraId="72B54B51" w14:textId="58BD1C0A" w:rsidR="00827647" w:rsidRDefault="00827647" w:rsidP="003D04F1">
      <w:pPr>
        <w:pStyle w:val="ListParagraph"/>
        <w:numPr>
          <w:ilvl w:val="0"/>
          <w:numId w:val="5"/>
        </w:numPr>
        <w:spacing w:line="240" w:lineRule="auto"/>
      </w:pPr>
      <w:r>
        <w:t xml:space="preserve">Recorded </w:t>
      </w:r>
      <w:r w:rsidR="00D71B40">
        <w:t>Video Interview</w:t>
      </w:r>
      <w:r>
        <w:t xml:space="preserve"> for Fit </w:t>
      </w:r>
    </w:p>
    <w:p w14:paraId="69E99CEC" w14:textId="01D85714" w:rsidR="001E234D" w:rsidRDefault="001E234D" w:rsidP="001E234D">
      <w:pPr>
        <w:pStyle w:val="ListParagraph"/>
        <w:numPr>
          <w:ilvl w:val="1"/>
          <w:numId w:val="5"/>
        </w:numPr>
        <w:spacing w:line="240" w:lineRule="auto"/>
      </w:pPr>
      <w:r>
        <w:t>Interested candidates meet virtually with a Senior Recruiter to dive deeper into their background. The conversation is recorded and attached with the candidates resume at time of submittal, thereby eliminating the need for repetitive interview questions.</w:t>
      </w:r>
    </w:p>
    <w:p w14:paraId="4FC0ECA3" w14:textId="4BBC7DE8" w:rsidR="00827647" w:rsidRDefault="00827647" w:rsidP="003D04F1">
      <w:pPr>
        <w:pStyle w:val="ListParagraph"/>
        <w:numPr>
          <w:ilvl w:val="0"/>
          <w:numId w:val="5"/>
        </w:numPr>
        <w:spacing w:line="240" w:lineRule="auto"/>
      </w:pPr>
      <w:r>
        <w:t xml:space="preserve">Test for Aptitude </w:t>
      </w:r>
    </w:p>
    <w:p w14:paraId="19371DC0" w14:textId="67BAE01A" w:rsidR="001E234D" w:rsidRDefault="001E234D" w:rsidP="001E234D">
      <w:pPr>
        <w:pStyle w:val="ListParagraph"/>
        <w:numPr>
          <w:ilvl w:val="1"/>
          <w:numId w:val="5"/>
        </w:numPr>
        <w:spacing w:line="240" w:lineRule="auto"/>
      </w:pPr>
      <w:r>
        <w:t>Qualified candidates take the Predictive Index test to determine aptitude.</w:t>
      </w:r>
    </w:p>
    <w:p w14:paraId="35EB268D" w14:textId="1B64CCCB" w:rsidR="00827647" w:rsidRDefault="00827647" w:rsidP="003D04F1">
      <w:pPr>
        <w:pStyle w:val="ListParagraph"/>
        <w:numPr>
          <w:ilvl w:val="0"/>
          <w:numId w:val="5"/>
        </w:numPr>
        <w:spacing w:line="240" w:lineRule="auto"/>
      </w:pPr>
      <w:r>
        <w:t>Interview with Agile Hiring Team</w:t>
      </w:r>
    </w:p>
    <w:p w14:paraId="05113DC6" w14:textId="6BA54FE9" w:rsidR="001E234D" w:rsidRDefault="00A21871" w:rsidP="001E234D">
      <w:pPr>
        <w:pStyle w:val="ListParagraph"/>
        <w:numPr>
          <w:ilvl w:val="1"/>
          <w:numId w:val="5"/>
        </w:numPr>
        <w:spacing w:line="240" w:lineRule="auto"/>
      </w:pPr>
      <w:r>
        <w:t xml:space="preserve">Candidate meets with at least two members of the AHT via video teleconference. The face-to-face interaction provides great insight into the </w:t>
      </w:r>
      <w:r w:rsidR="002E0FF8">
        <w:t>candidate’s</w:t>
      </w:r>
      <w:r>
        <w:t xml:space="preserve"> ability to provide </w:t>
      </w:r>
      <w:r w:rsidR="002E0FF8">
        <w:t>high level service to Intecrowd clients while working remotely.</w:t>
      </w:r>
    </w:p>
    <w:p w14:paraId="5A803C03" w14:textId="77777777" w:rsidR="002E0FF8" w:rsidRDefault="002E0FF8" w:rsidP="002E0FF8">
      <w:pPr>
        <w:pStyle w:val="ListParagraph"/>
        <w:spacing w:line="240" w:lineRule="auto"/>
        <w:ind w:left="1440"/>
      </w:pPr>
    </w:p>
    <w:p w14:paraId="79272418" w14:textId="3D2BC014" w:rsidR="00827647" w:rsidRDefault="00D71B40" w:rsidP="003D04F1">
      <w:pPr>
        <w:pStyle w:val="ListParagraph"/>
        <w:numPr>
          <w:ilvl w:val="0"/>
          <w:numId w:val="5"/>
        </w:numPr>
        <w:spacing w:line="240" w:lineRule="auto"/>
      </w:pPr>
      <w:r>
        <w:t>Final Interview – 3</w:t>
      </w:r>
      <w:r w:rsidRPr="00D71B40">
        <w:rPr>
          <w:vertAlign w:val="superscript"/>
        </w:rPr>
        <w:t>rd</w:t>
      </w:r>
      <w:r>
        <w:t xml:space="preserve"> member of Agile Hiring Team – Can be Phone or Video</w:t>
      </w:r>
    </w:p>
    <w:p w14:paraId="52748972" w14:textId="0E471F6F" w:rsidR="00564BA7" w:rsidRDefault="00564BA7" w:rsidP="00564BA7">
      <w:pPr>
        <w:pStyle w:val="ListParagraph"/>
        <w:numPr>
          <w:ilvl w:val="1"/>
          <w:numId w:val="5"/>
        </w:numPr>
        <w:spacing w:line="240" w:lineRule="auto"/>
      </w:pPr>
      <w:r>
        <w:t>A final check for quality, this is the last step in the process. We expect upwards of 80% of candidates who get to this stage to be extended an offer.</w:t>
      </w:r>
    </w:p>
    <w:p w14:paraId="240C47FF" w14:textId="598D9F51" w:rsidR="00D71B40" w:rsidRDefault="00D71B40" w:rsidP="00D71B40">
      <w:pPr>
        <w:spacing w:line="240" w:lineRule="auto"/>
      </w:pPr>
      <w:r>
        <w:t>Target Time to Hire = &lt; 20 business days</w:t>
      </w:r>
    </w:p>
    <w:p w14:paraId="6EB2FD95" w14:textId="77777777" w:rsidR="00564BA7" w:rsidRDefault="00564BA7" w:rsidP="00564BA7">
      <w:pPr>
        <w:spacing w:line="240" w:lineRule="auto"/>
      </w:pPr>
      <w:r w:rsidRPr="00D71B40">
        <w:rPr>
          <w:highlight w:val="yellow"/>
        </w:rPr>
        <w:t>PAGE BREAK</w:t>
      </w:r>
    </w:p>
    <w:p w14:paraId="2925D6E5" w14:textId="2BB1DB52" w:rsidR="00564BA7" w:rsidRDefault="00564BA7" w:rsidP="00D71B40">
      <w:pPr>
        <w:spacing w:line="240" w:lineRule="auto"/>
      </w:pPr>
    </w:p>
    <w:p w14:paraId="2E31BA2A" w14:textId="77777777" w:rsidR="00564BA7" w:rsidRPr="00AA4F31" w:rsidRDefault="00564BA7" w:rsidP="00564BA7">
      <w:pPr>
        <w:spacing w:line="240" w:lineRule="auto"/>
        <w:rPr>
          <w:b/>
          <w:bCs/>
          <w:u w:val="single"/>
        </w:rPr>
      </w:pPr>
      <w:r>
        <w:rPr>
          <w:b/>
          <w:bCs/>
          <w:u w:val="single"/>
        </w:rPr>
        <w:t xml:space="preserve">The </w:t>
      </w:r>
      <w:proofErr w:type="spellStart"/>
      <w:r>
        <w:rPr>
          <w:b/>
          <w:bCs/>
          <w:u w:val="single"/>
        </w:rPr>
        <w:t>TAaaS</w:t>
      </w:r>
      <w:proofErr w:type="spellEnd"/>
      <w:r>
        <w:rPr>
          <w:b/>
          <w:bCs/>
          <w:u w:val="single"/>
        </w:rPr>
        <w:t xml:space="preserve"> Team and Project Timeline</w:t>
      </w:r>
    </w:p>
    <w:p w14:paraId="44BFB3A6" w14:textId="77777777" w:rsidR="00564BA7" w:rsidRDefault="00564BA7" w:rsidP="00564BA7">
      <w:pPr>
        <w:spacing w:line="240" w:lineRule="auto"/>
      </w:pPr>
      <w:r>
        <w:t xml:space="preserve">For this engagement (100 FTE by 10/2020), the composition of the HCD </w:t>
      </w:r>
      <w:proofErr w:type="spellStart"/>
      <w:r>
        <w:t>TAaaS</w:t>
      </w:r>
      <w:proofErr w:type="spellEnd"/>
      <w:r>
        <w:t xml:space="preserve"> team will be as follows*:</w:t>
      </w:r>
    </w:p>
    <w:p w14:paraId="095BD1B5" w14:textId="77777777" w:rsidR="00564BA7" w:rsidRDefault="00564BA7" w:rsidP="00564BA7">
      <w:pPr>
        <w:pStyle w:val="ListParagraph"/>
        <w:numPr>
          <w:ilvl w:val="0"/>
          <w:numId w:val="3"/>
        </w:numPr>
        <w:spacing w:line="240" w:lineRule="auto"/>
      </w:pPr>
      <w:r>
        <w:t>1 Account Lead</w:t>
      </w:r>
    </w:p>
    <w:p w14:paraId="2288BD89" w14:textId="77777777" w:rsidR="00564BA7" w:rsidRDefault="00564BA7" w:rsidP="00564BA7">
      <w:pPr>
        <w:pStyle w:val="ListParagraph"/>
        <w:numPr>
          <w:ilvl w:val="0"/>
          <w:numId w:val="3"/>
        </w:numPr>
        <w:spacing w:line="240" w:lineRule="auto"/>
      </w:pPr>
      <w:r>
        <w:t xml:space="preserve">1 Director of Delivery </w:t>
      </w:r>
    </w:p>
    <w:p w14:paraId="72DBEDC2" w14:textId="77777777" w:rsidR="00564BA7" w:rsidRDefault="00564BA7" w:rsidP="00564BA7">
      <w:pPr>
        <w:pStyle w:val="ListParagraph"/>
        <w:numPr>
          <w:ilvl w:val="0"/>
          <w:numId w:val="3"/>
        </w:numPr>
        <w:spacing w:line="240" w:lineRule="auto"/>
      </w:pPr>
      <w:r>
        <w:t xml:space="preserve">3 Sr. Recruiters </w:t>
      </w:r>
    </w:p>
    <w:p w14:paraId="7A3D2622" w14:textId="77777777" w:rsidR="00564BA7" w:rsidRDefault="00564BA7" w:rsidP="00564BA7">
      <w:pPr>
        <w:pStyle w:val="ListParagraph"/>
        <w:numPr>
          <w:ilvl w:val="0"/>
          <w:numId w:val="3"/>
        </w:numPr>
        <w:spacing w:line="240" w:lineRule="auto"/>
      </w:pPr>
      <w:r>
        <w:t xml:space="preserve">1 Jr. Recruiter/Coordinator </w:t>
      </w:r>
    </w:p>
    <w:p w14:paraId="16ECCD88" w14:textId="77777777" w:rsidR="00564BA7" w:rsidRDefault="00564BA7" w:rsidP="00564BA7">
      <w:pPr>
        <w:pStyle w:val="ListParagraph"/>
        <w:numPr>
          <w:ilvl w:val="0"/>
          <w:numId w:val="3"/>
        </w:numPr>
        <w:spacing w:line="240" w:lineRule="auto"/>
      </w:pPr>
      <w:r>
        <w:t xml:space="preserve">4 Researchers </w:t>
      </w:r>
    </w:p>
    <w:p w14:paraId="15959288" w14:textId="12E86179" w:rsidR="00564BA7" w:rsidRDefault="00564BA7" w:rsidP="00564BA7">
      <w:pPr>
        <w:spacing w:line="240" w:lineRule="auto"/>
      </w:pPr>
      <w:r>
        <w:t xml:space="preserve">*Note: The composition of the </w:t>
      </w:r>
      <w:proofErr w:type="spellStart"/>
      <w:r>
        <w:t>TAaaS</w:t>
      </w:r>
      <w:proofErr w:type="spellEnd"/>
      <w:r>
        <w:t xml:space="preserve"> team will change as the requirements of the project change. The above estimate represents the proposed team composition at time of kick off.</w:t>
      </w:r>
      <w:r>
        <w:t xml:space="preserve"> Further details </w:t>
      </w:r>
      <w:proofErr w:type="gramStart"/>
      <w:r>
        <w:t>is</w:t>
      </w:r>
      <w:proofErr w:type="gramEnd"/>
      <w:r>
        <w:t xml:space="preserve"> provided in Delivery Timeline by Phase</w:t>
      </w:r>
    </w:p>
    <w:p w14:paraId="262320C2" w14:textId="341F8882" w:rsidR="00564BA7" w:rsidRDefault="00564BA7" w:rsidP="00564BA7">
      <w:pPr>
        <w:spacing w:line="240" w:lineRule="auto"/>
      </w:pPr>
      <w:r>
        <w:t xml:space="preserve">We feel we can meet the needs of this project by </w:t>
      </w:r>
      <w:proofErr w:type="gramStart"/>
      <w:r>
        <w:t>October</w:t>
      </w:r>
      <w:r>
        <w:t>,</w:t>
      </w:r>
      <w:proofErr w:type="gramEnd"/>
      <w:r>
        <w:t xml:space="preserve"> 2020.</w:t>
      </w:r>
    </w:p>
    <w:p w14:paraId="6137A13E" w14:textId="77777777" w:rsidR="00564BA7" w:rsidRDefault="00564BA7" w:rsidP="00D71B40">
      <w:pPr>
        <w:spacing w:line="240" w:lineRule="auto"/>
      </w:pPr>
    </w:p>
    <w:p w14:paraId="65573DA1" w14:textId="77777777" w:rsidR="00D71B40" w:rsidRDefault="00D71B40" w:rsidP="00D71B40">
      <w:pPr>
        <w:spacing w:line="240" w:lineRule="auto"/>
        <w:rPr>
          <w:highlight w:val="yellow"/>
        </w:rPr>
      </w:pPr>
    </w:p>
    <w:p w14:paraId="017C043D" w14:textId="0DBB4BCA" w:rsidR="00D71B40" w:rsidRDefault="00D71B40" w:rsidP="00D71B40">
      <w:pPr>
        <w:spacing w:line="240" w:lineRule="auto"/>
      </w:pPr>
      <w:r w:rsidRPr="00D71B40">
        <w:rPr>
          <w:highlight w:val="yellow"/>
        </w:rPr>
        <w:lastRenderedPageBreak/>
        <w:t>PAGE BREAK</w:t>
      </w:r>
    </w:p>
    <w:p w14:paraId="7274A81D" w14:textId="467771E6" w:rsidR="005006BF" w:rsidRDefault="005006BF" w:rsidP="00E64550">
      <w:pPr>
        <w:spacing w:line="240" w:lineRule="auto"/>
        <w:rPr>
          <w:b/>
          <w:bCs/>
        </w:rPr>
      </w:pPr>
      <w:r w:rsidRPr="005006BF">
        <w:rPr>
          <w:b/>
          <w:bCs/>
        </w:rPr>
        <w:t>Anticipated Level of Effort</w:t>
      </w:r>
    </w:p>
    <w:p w14:paraId="217DB827" w14:textId="44B71FAA" w:rsidR="00863E15" w:rsidRDefault="008231EB" w:rsidP="00E64550">
      <w:pPr>
        <w:spacing w:line="240" w:lineRule="auto"/>
      </w:pPr>
      <w:r>
        <w:t>I</w:t>
      </w:r>
      <w:r w:rsidR="00863E15">
        <w:t xml:space="preserve">t is imperative that Intecrowd team be aware of the level of effort required from internal decision makers to meet the intended hiring goal, and that the team is prepared to meet those commitments. </w:t>
      </w:r>
    </w:p>
    <w:p w14:paraId="2D33273B" w14:textId="195882D9" w:rsidR="00863E15" w:rsidRDefault="00863E15" w:rsidP="00E64550">
      <w:pPr>
        <w:spacing w:line="240" w:lineRule="auto"/>
      </w:pPr>
      <w:r>
        <w:t xml:space="preserve">Even seemingly small aspects of the hiring process can drastically extend the project length and/or increase the workload for Intecrowd decision makers. For example, inconsistency in brand messaging during the screening process can </w:t>
      </w:r>
      <w:r w:rsidR="00245C17">
        <w:t>inflate the number of candidates that need to be interviewed in order to generate a</w:t>
      </w:r>
      <w:r w:rsidR="008231EB">
        <w:t>n offer</w:t>
      </w:r>
      <w:r w:rsidR="00245C17">
        <w:t xml:space="preserve">. Similarly, an abrasive interview process can skew the ratio of offered extended to offers accepted. </w:t>
      </w:r>
    </w:p>
    <w:p w14:paraId="1AE86AE0" w14:textId="44EEE29D" w:rsidR="00863E15" w:rsidRDefault="00245C17" w:rsidP="00E64550">
      <w:pPr>
        <w:spacing w:line="240" w:lineRule="auto"/>
      </w:pPr>
      <w:r>
        <w:t>That said, we have estimated the level of effort for the entire hiring process as follows:</w:t>
      </w:r>
    </w:p>
    <w:p w14:paraId="0B05A868" w14:textId="77777777" w:rsidR="00863E15" w:rsidRDefault="005006BF" w:rsidP="00331A02">
      <w:pPr>
        <w:spacing w:line="240" w:lineRule="auto"/>
      </w:pPr>
      <w:r>
        <w:t xml:space="preserve">The </w:t>
      </w:r>
      <w:r w:rsidRPr="00331A02">
        <w:rPr>
          <w:b/>
          <w:bCs/>
        </w:rPr>
        <w:t>Baseline Effort</w:t>
      </w:r>
      <w:r>
        <w:t xml:space="preserve"> represents our general expectations, based on our cumulative experience</w:t>
      </w:r>
      <w:r w:rsidR="00863E15">
        <w:t>.</w:t>
      </w:r>
    </w:p>
    <w:p w14:paraId="540DDE40" w14:textId="7DFFD745" w:rsidR="00863E15" w:rsidRDefault="00863E15" w:rsidP="00331A02">
      <w:pPr>
        <w:spacing w:line="240" w:lineRule="auto"/>
      </w:pPr>
      <w:r>
        <w:t xml:space="preserve">The </w:t>
      </w:r>
      <w:r w:rsidR="005006BF" w:rsidRPr="00331A02">
        <w:rPr>
          <w:b/>
          <w:bCs/>
        </w:rPr>
        <w:t>Conservative Estimate</w:t>
      </w:r>
      <w:r w:rsidR="005006BF">
        <w:t xml:space="preserve"> reflects the impact of unforeseen issues (market constraints, hiring process misalignment, compensation discrepancies etc.). </w:t>
      </w:r>
    </w:p>
    <w:p w14:paraId="6C00A047" w14:textId="514718DC" w:rsidR="00863E15" w:rsidRPr="005006BF" w:rsidRDefault="00863E15" w:rsidP="00331A02">
      <w:pPr>
        <w:spacing w:line="240" w:lineRule="auto"/>
      </w:pPr>
      <w:r>
        <w:t>T</w:t>
      </w:r>
      <w:r w:rsidR="005006BF">
        <w:t xml:space="preserve">he </w:t>
      </w:r>
      <w:r w:rsidR="005006BF" w:rsidRPr="00331A02">
        <w:rPr>
          <w:b/>
          <w:bCs/>
        </w:rPr>
        <w:t xml:space="preserve">Aggressive Estimate </w:t>
      </w:r>
      <w:r w:rsidR="005006BF">
        <w:t>speaks to what can be achieved if there is alignment between the HCD team and the Intecrowd stakeholders (i.e. frequent/consistent feedback, timely scheduling, effective communication of brand value etc.).</w:t>
      </w:r>
      <w:r>
        <w:t xml:space="preserve"> </w:t>
      </w:r>
    </w:p>
    <w:tbl>
      <w:tblPr>
        <w:tblW w:w="10660" w:type="dxa"/>
        <w:tblInd w:w="-652" w:type="dxa"/>
        <w:tblLook w:val="04A0" w:firstRow="1" w:lastRow="0" w:firstColumn="1" w:lastColumn="0" w:noHBand="0" w:noVBand="1"/>
      </w:tblPr>
      <w:tblGrid>
        <w:gridCol w:w="1404"/>
        <w:gridCol w:w="1396"/>
        <w:gridCol w:w="830"/>
        <w:gridCol w:w="885"/>
        <w:gridCol w:w="1132"/>
        <w:gridCol w:w="1091"/>
        <w:gridCol w:w="1091"/>
        <w:gridCol w:w="1077"/>
        <w:gridCol w:w="1068"/>
        <w:gridCol w:w="686"/>
      </w:tblGrid>
      <w:tr w:rsidR="008B6ECA" w:rsidRPr="005006BF" w14:paraId="56492011" w14:textId="77777777" w:rsidTr="008B6ECA">
        <w:trPr>
          <w:trHeight w:val="624"/>
        </w:trPr>
        <w:tc>
          <w:tcPr>
            <w:tcW w:w="14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B0B9A9" w14:textId="77777777" w:rsidR="005006BF" w:rsidRPr="005006BF" w:rsidRDefault="005006BF" w:rsidP="005006BF">
            <w:pPr>
              <w:spacing w:after="0" w:line="240" w:lineRule="auto"/>
              <w:rPr>
                <w:rFonts w:ascii="Calibri" w:eastAsia="Times New Roman" w:hAnsi="Calibri" w:cs="Times New Roman"/>
                <w:color w:val="000000"/>
              </w:rPr>
            </w:pPr>
            <w:r w:rsidRPr="005006BF">
              <w:rPr>
                <w:rFonts w:ascii="Calibri" w:eastAsia="Times New Roman" w:hAnsi="Calibri" w:cs="Times New Roman"/>
                <w:color w:val="000000"/>
              </w:rPr>
              <w:t> </w:t>
            </w:r>
          </w:p>
        </w:tc>
        <w:tc>
          <w:tcPr>
            <w:tcW w:w="1396" w:type="dxa"/>
            <w:tcBorders>
              <w:top w:val="single" w:sz="4" w:space="0" w:color="auto"/>
              <w:left w:val="nil"/>
              <w:bottom w:val="single" w:sz="4" w:space="0" w:color="auto"/>
              <w:right w:val="single" w:sz="4" w:space="0" w:color="auto"/>
            </w:tcBorders>
            <w:shd w:val="clear" w:color="auto" w:fill="auto"/>
            <w:vAlign w:val="bottom"/>
            <w:hideMark/>
          </w:tcPr>
          <w:p w14:paraId="78CF6680" w14:textId="23027F8E" w:rsidR="005006BF" w:rsidRPr="005006BF" w:rsidRDefault="005006BF" w:rsidP="005006BF">
            <w:pPr>
              <w:spacing w:after="0" w:line="240" w:lineRule="auto"/>
              <w:rPr>
                <w:rFonts w:ascii="Calibri" w:eastAsia="Times New Roman" w:hAnsi="Calibri" w:cs="Times New Roman"/>
                <w:b/>
                <w:bCs/>
                <w:color w:val="000000"/>
                <w:sz w:val="18"/>
                <w:szCs w:val="18"/>
              </w:rPr>
            </w:pPr>
            <w:r w:rsidRPr="005006BF">
              <w:rPr>
                <w:rFonts w:ascii="Calibri" w:eastAsia="Times New Roman" w:hAnsi="Calibri" w:cs="Times New Roman"/>
                <w:b/>
                <w:bCs/>
                <w:color w:val="000000"/>
                <w:sz w:val="18"/>
                <w:szCs w:val="18"/>
              </w:rPr>
              <w:t xml:space="preserve">Phone/Email </w:t>
            </w:r>
            <w:r w:rsidRPr="008B6ECA">
              <w:rPr>
                <w:rFonts w:ascii="Calibri" w:eastAsia="Times New Roman" w:hAnsi="Calibri" w:cs="Times New Roman"/>
                <w:b/>
                <w:bCs/>
                <w:color w:val="000000"/>
                <w:sz w:val="18"/>
                <w:szCs w:val="18"/>
              </w:rPr>
              <w:t>Outreach</w:t>
            </w:r>
            <w:r w:rsidRPr="005006BF">
              <w:rPr>
                <w:rFonts w:ascii="Calibri" w:eastAsia="Times New Roman" w:hAnsi="Calibri" w:cs="Times New Roman"/>
                <w:b/>
                <w:bCs/>
                <w:color w:val="000000"/>
                <w:sz w:val="18"/>
                <w:szCs w:val="18"/>
              </w:rPr>
              <w:t xml:space="preserve"> </w:t>
            </w:r>
          </w:p>
        </w:tc>
        <w:tc>
          <w:tcPr>
            <w:tcW w:w="830" w:type="dxa"/>
            <w:tcBorders>
              <w:top w:val="single" w:sz="4" w:space="0" w:color="auto"/>
              <w:left w:val="nil"/>
              <w:bottom w:val="single" w:sz="4" w:space="0" w:color="auto"/>
              <w:right w:val="single" w:sz="4" w:space="0" w:color="auto"/>
            </w:tcBorders>
            <w:shd w:val="clear" w:color="auto" w:fill="auto"/>
            <w:vAlign w:val="bottom"/>
            <w:hideMark/>
          </w:tcPr>
          <w:p w14:paraId="479C4219" w14:textId="77777777" w:rsidR="005006BF" w:rsidRPr="005006BF" w:rsidRDefault="005006BF" w:rsidP="005006BF">
            <w:pPr>
              <w:spacing w:after="0" w:line="240" w:lineRule="auto"/>
              <w:rPr>
                <w:rFonts w:ascii="Calibri" w:eastAsia="Times New Roman" w:hAnsi="Calibri" w:cs="Times New Roman"/>
                <w:b/>
                <w:bCs/>
                <w:color w:val="000000"/>
                <w:sz w:val="18"/>
                <w:szCs w:val="18"/>
              </w:rPr>
            </w:pPr>
            <w:r w:rsidRPr="005006BF">
              <w:rPr>
                <w:rFonts w:ascii="Calibri" w:eastAsia="Times New Roman" w:hAnsi="Calibri" w:cs="Times New Roman"/>
                <w:b/>
                <w:bCs/>
                <w:color w:val="000000"/>
                <w:sz w:val="18"/>
                <w:szCs w:val="18"/>
              </w:rPr>
              <w:t>Screen for EEE</w:t>
            </w:r>
          </w:p>
        </w:tc>
        <w:tc>
          <w:tcPr>
            <w:tcW w:w="885" w:type="dxa"/>
            <w:tcBorders>
              <w:top w:val="single" w:sz="4" w:space="0" w:color="auto"/>
              <w:left w:val="nil"/>
              <w:bottom w:val="single" w:sz="4" w:space="0" w:color="auto"/>
              <w:right w:val="single" w:sz="4" w:space="0" w:color="auto"/>
            </w:tcBorders>
            <w:shd w:val="clear" w:color="auto" w:fill="auto"/>
            <w:vAlign w:val="bottom"/>
            <w:hideMark/>
          </w:tcPr>
          <w:p w14:paraId="50A08DD3" w14:textId="77777777" w:rsidR="005006BF" w:rsidRPr="005006BF" w:rsidRDefault="005006BF" w:rsidP="005006BF">
            <w:pPr>
              <w:spacing w:after="0" w:line="240" w:lineRule="auto"/>
              <w:rPr>
                <w:rFonts w:ascii="Calibri" w:eastAsia="Times New Roman" w:hAnsi="Calibri" w:cs="Times New Roman"/>
                <w:b/>
                <w:bCs/>
                <w:color w:val="000000"/>
                <w:sz w:val="18"/>
                <w:szCs w:val="18"/>
              </w:rPr>
            </w:pPr>
            <w:r w:rsidRPr="005006BF">
              <w:rPr>
                <w:rFonts w:ascii="Calibri" w:eastAsia="Times New Roman" w:hAnsi="Calibri" w:cs="Times New Roman"/>
                <w:b/>
                <w:bCs/>
                <w:color w:val="000000"/>
                <w:sz w:val="18"/>
                <w:szCs w:val="18"/>
              </w:rPr>
              <w:t>Screen for Fit (Video)</w:t>
            </w:r>
          </w:p>
        </w:tc>
        <w:tc>
          <w:tcPr>
            <w:tcW w:w="1132" w:type="dxa"/>
            <w:tcBorders>
              <w:top w:val="single" w:sz="4" w:space="0" w:color="auto"/>
              <w:left w:val="nil"/>
              <w:bottom w:val="single" w:sz="4" w:space="0" w:color="auto"/>
              <w:right w:val="single" w:sz="4" w:space="0" w:color="auto"/>
            </w:tcBorders>
            <w:shd w:val="clear" w:color="auto" w:fill="auto"/>
            <w:vAlign w:val="bottom"/>
            <w:hideMark/>
          </w:tcPr>
          <w:p w14:paraId="3A6DC233" w14:textId="0CA47926" w:rsidR="005006BF" w:rsidRPr="005006BF" w:rsidRDefault="005006BF" w:rsidP="005006BF">
            <w:pPr>
              <w:spacing w:after="0" w:line="240" w:lineRule="auto"/>
              <w:rPr>
                <w:rFonts w:ascii="Calibri" w:eastAsia="Times New Roman" w:hAnsi="Calibri" w:cs="Times New Roman"/>
                <w:b/>
                <w:bCs/>
                <w:color w:val="000000"/>
                <w:sz w:val="18"/>
                <w:szCs w:val="18"/>
              </w:rPr>
            </w:pPr>
            <w:r w:rsidRPr="008B6ECA">
              <w:rPr>
                <w:rFonts w:ascii="Calibri" w:eastAsia="Times New Roman" w:hAnsi="Calibri" w:cs="Times New Roman"/>
                <w:b/>
                <w:bCs/>
                <w:color w:val="000000"/>
                <w:sz w:val="18"/>
                <w:szCs w:val="18"/>
              </w:rPr>
              <w:t>Predictive Index</w:t>
            </w:r>
          </w:p>
        </w:tc>
        <w:tc>
          <w:tcPr>
            <w:tcW w:w="1091" w:type="dxa"/>
            <w:tcBorders>
              <w:top w:val="single" w:sz="4" w:space="0" w:color="auto"/>
              <w:left w:val="nil"/>
              <w:bottom w:val="single" w:sz="4" w:space="0" w:color="auto"/>
              <w:right w:val="single" w:sz="4" w:space="0" w:color="auto"/>
            </w:tcBorders>
            <w:shd w:val="clear" w:color="auto" w:fill="auto"/>
            <w:vAlign w:val="bottom"/>
            <w:hideMark/>
          </w:tcPr>
          <w:p w14:paraId="1FC0039C" w14:textId="77777777" w:rsidR="005006BF" w:rsidRPr="005006BF" w:rsidRDefault="005006BF" w:rsidP="005006BF">
            <w:pPr>
              <w:spacing w:after="0" w:line="240" w:lineRule="auto"/>
              <w:rPr>
                <w:rFonts w:ascii="Calibri" w:eastAsia="Times New Roman" w:hAnsi="Calibri" w:cs="Times New Roman"/>
                <w:b/>
                <w:bCs/>
                <w:color w:val="000000"/>
                <w:sz w:val="18"/>
                <w:szCs w:val="18"/>
              </w:rPr>
            </w:pPr>
            <w:r w:rsidRPr="005006BF">
              <w:rPr>
                <w:rFonts w:ascii="Calibri" w:eastAsia="Times New Roman" w:hAnsi="Calibri" w:cs="Times New Roman"/>
                <w:b/>
                <w:bCs/>
                <w:color w:val="000000"/>
                <w:sz w:val="18"/>
                <w:szCs w:val="18"/>
              </w:rPr>
              <w:t>Agile Hiring Team Interview</w:t>
            </w:r>
          </w:p>
        </w:tc>
        <w:tc>
          <w:tcPr>
            <w:tcW w:w="1091" w:type="dxa"/>
            <w:tcBorders>
              <w:top w:val="single" w:sz="4" w:space="0" w:color="auto"/>
              <w:left w:val="nil"/>
              <w:bottom w:val="single" w:sz="4" w:space="0" w:color="auto"/>
              <w:right w:val="single" w:sz="4" w:space="0" w:color="auto"/>
            </w:tcBorders>
            <w:shd w:val="clear" w:color="auto" w:fill="auto"/>
            <w:vAlign w:val="bottom"/>
            <w:hideMark/>
          </w:tcPr>
          <w:p w14:paraId="24572C6C" w14:textId="77777777" w:rsidR="005006BF" w:rsidRPr="005006BF" w:rsidRDefault="005006BF" w:rsidP="005006BF">
            <w:pPr>
              <w:spacing w:after="0" w:line="240" w:lineRule="auto"/>
              <w:rPr>
                <w:rFonts w:ascii="Calibri" w:eastAsia="Times New Roman" w:hAnsi="Calibri" w:cs="Times New Roman"/>
                <w:b/>
                <w:bCs/>
                <w:color w:val="000000"/>
                <w:sz w:val="18"/>
                <w:szCs w:val="18"/>
              </w:rPr>
            </w:pPr>
            <w:r w:rsidRPr="005006BF">
              <w:rPr>
                <w:rFonts w:ascii="Calibri" w:eastAsia="Times New Roman" w:hAnsi="Calibri" w:cs="Times New Roman"/>
                <w:b/>
                <w:bCs/>
                <w:color w:val="000000"/>
                <w:sz w:val="18"/>
                <w:szCs w:val="18"/>
              </w:rPr>
              <w:t>Final Interview</w:t>
            </w:r>
          </w:p>
        </w:tc>
        <w:tc>
          <w:tcPr>
            <w:tcW w:w="1077" w:type="dxa"/>
            <w:tcBorders>
              <w:top w:val="single" w:sz="4" w:space="0" w:color="auto"/>
              <w:left w:val="nil"/>
              <w:bottom w:val="single" w:sz="4" w:space="0" w:color="auto"/>
              <w:right w:val="single" w:sz="4" w:space="0" w:color="auto"/>
            </w:tcBorders>
            <w:shd w:val="clear" w:color="auto" w:fill="auto"/>
            <w:vAlign w:val="bottom"/>
            <w:hideMark/>
          </w:tcPr>
          <w:p w14:paraId="3F500047" w14:textId="77777777" w:rsidR="005006BF" w:rsidRPr="005006BF" w:rsidRDefault="005006BF" w:rsidP="005006BF">
            <w:pPr>
              <w:spacing w:after="0" w:line="240" w:lineRule="auto"/>
              <w:rPr>
                <w:rFonts w:ascii="Calibri" w:eastAsia="Times New Roman" w:hAnsi="Calibri" w:cs="Times New Roman"/>
                <w:b/>
                <w:bCs/>
                <w:color w:val="000000"/>
                <w:sz w:val="18"/>
                <w:szCs w:val="18"/>
              </w:rPr>
            </w:pPr>
            <w:r w:rsidRPr="005006BF">
              <w:rPr>
                <w:rFonts w:ascii="Calibri" w:eastAsia="Times New Roman" w:hAnsi="Calibri" w:cs="Times New Roman"/>
                <w:b/>
                <w:bCs/>
                <w:color w:val="000000"/>
                <w:sz w:val="18"/>
                <w:szCs w:val="18"/>
              </w:rPr>
              <w:t>Offer Extended</w:t>
            </w:r>
          </w:p>
        </w:tc>
        <w:tc>
          <w:tcPr>
            <w:tcW w:w="1068" w:type="dxa"/>
            <w:tcBorders>
              <w:top w:val="single" w:sz="4" w:space="0" w:color="auto"/>
              <w:left w:val="nil"/>
              <w:bottom w:val="single" w:sz="4" w:space="0" w:color="auto"/>
              <w:right w:val="single" w:sz="4" w:space="0" w:color="auto"/>
            </w:tcBorders>
            <w:shd w:val="clear" w:color="auto" w:fill="auto"/>
            <w:vAlign w:val="bottom"/>
            <w:hideMark/>
          </w:tcPr>
          <w:p w14:paraId="7B2783D9" w14:textId="77777777" w:rsidR="005006BF" w:rsidRPr="005006BF" w:rsidRDefault="005006BF" w:rsidP="005006BF">
            <w:pPr>
              <w:spacing w:after="0" w:line="240" w:lineRule="auto"/>
              <w:rPr>
                <w:rFonts w:ascii="Calibri" w:eastAsia="Times New Roman" w:hAnsi="Calibri" w:cs="Times New Roman"/>
                <w:b/>
                <w:bCs/>
                <w:color w:val="000000"/>
                <w:sz w:val="18"/>
                <w:szCs w:val="18"/>
              </w:rPr>
            </w:pPr>
            <w:r w:rsidRPr="005006BF">
              <w:rPr>
                <w:rFonts w:ascii="Calibri" w:eastAsia="Times New Roman" w:hAnsi="Calibri" w:cs="Times New Roman"/>
                <w:b/>
                <w:bCs/>
                <w:color w:val="000000"/>
                <w:sz w:val="18"/>
                <w:szCs w:val="18"/>
              </w:rPr>
              <w:t>Offer Accepted</w:t>
            </w:r>
          </w:p>
        </w:tc>
        <w:tc>
          <w:tcPr>
            <w:tcW w:w="686" w:type="dxa"/>
            <w:tcBorders>
              <w:top w:val="single" w:sz="4" w:space="0" w:color="auto"/>
              <w:left w:val="nil"/>
              <w:bottom w:val="single" w:sz="4" w:space="0" w:color="auto"/>
              <w:right w:val="single" w:sz="4" w:space="0" w:color="auto"/>
            </w:tcBorders>
            <w:shd w:val="clear" w:color="auto" w:fill="auto"/>
            <w:vAlign w:val="bottom"/>
            <w:hideMark/>
          </w:tcPr>
          <w:p w14:paraId="35FA16CA" w14:textId="77777777" w:rsidR="005006BF" w:rsidRPr="005006BF" w:rsidRDefault="005006BF" w:rsidP="005006BF">
            <w:pPr>
              <w:spacing w:after="0" w:line="240" w:lineRule="auto"/>
              <w:rPr>
                <w:rFonts w:ascii="Calibri" w:eastAsia="Times New Roman" w:hAnsi="Calibri" w:cs="Times New Roman"/>
                <w:b/>
                <w:bCs/>
                <w:color w:val="000000"/>
                <w:sz w:val="18"/>
                <w:szCs w:val="18"/>
              </w:rPr>
            </w:pPr>
            <w:r w:rsidRPr="005006BF">
              <w:rPr>
                <w:rFonts w:ascii="Calibri" w:eastAsia="Times New Roman" w:hAnsi="Calibri" w:cs="Times New Roman"/>
                <w:b/>
                <w:bCs/>
                <w:color w:val="000000"/>
                <w:sz w:val="18"/>
                <w:szCs w:val="18"/>
              </w:rPr>
              <w:t>New Hires that Last</w:t>
            </w:r>
          </w:p>
        </w:tc>
      </w:tr>
      <w:tr w:rsidR="008B6ECA" w:rsidRPr="008B6ECA" w14:paraId="23E949A6" w14:textId="77777777" w:rsidTr="008B6ECA">
        <w:trPr>
          <w:trHeight w:val="195"/>
        </w:trPr>
        <w:tc>
          <w:tcPr>
            <w:tcW w:w="1404" w:type="dxa"/>
            <w:tcBorders>
              <w:top w:val="nil"/>
              <w:left w:val="single" w:sz="4" w:space="0" w:color="auto"/>
              <w:bottom w:val="single" w:sz="4" w:space="0" w:color="auto"/>
              <w:right w:val="single" w:sz="4" w:space="0" w:color="auto"/>
            </w:tcBorders>
            <w:shd w:val="clear" w:color="auto" w:fill="auto"/>
            <w:noWrap/>
            <w:vAlign w:val="bottom"/>
            <w:hideMark/>
          </w:tcPr>
          <w:p w14:paraId="4E602077" w14:textId="77777777" w:rsidR="005006BF" w:rsidRPr="005006BF" w:rsidRDefault="005006BF" w:rsidP="005006BF">
            <w:pPr>
              <w:spacing w:after="0" w:line="240" w:lineRule="auto"/>
              <w:rPr>
                <w:rFonts w:ascii="Calibri" w:eastAsia="Times New Roman" w:hAnsi="Calibri" w:cs="Times New Roman"/>
                <w:b/>
                <w:bCs/>
                <w:color w:val="000000"/>
                <w:sz w:val="20"/>
                <w:szCs w:val="20"/>
              </w:rPr>
            </w:pPr>
            <w:r w:rsidRPr="005006BF">
              <w:rPr>
                <w:rFonts w:ascii="Calibri" w:eastAsia="Times New Roman" w:hAnsi="Calibri" w:cs="Times New Roman"/>
                <w:b/>
                <w:bCs/>
                <w:color w:val="000000"/>
                <w:sz w:val="20"/>
                <w:szCs w:val="20"/>
              </w:rPr>
              <w:t>Conservative Estimate</w:t>
            </w:r>
          </w:p>
        </w:tc>
        <w:tc>
          <w:tcPr>
            <w:tcW w:w="1396" w:type="dxa"/>
            <w:tcBorders>
              <w:top w:val="nil"/>
              <w:left w:val="nil"/>
              <w:bottom w:val="single" w:sz="4" w:space="0" w:color="auto"/>
              <w:right w:val="single" w:sz="4" w:space="0" w:color="auto"/>
            </w:tcBorders>
            <w:shd w:val="clear" w:color="auto" w:fill="auto"/>
            <w:noWrap/>
            <w:vAlign w:val="bottom"/>
            <w:hideMark/>
          </w:tcPr>
          <w:p w14:paraId="58CA4B79" w14:textId="77777777" w:rsidR="005006BF" w:rsidRPr="005006BF" w:rsidRDefault="005006BF" w:rsidP="005006BF">
            <w:pPr>
              <w:spacing w:after="0" w:line="240" w:lineRule="auto"/>
              <w:jc w:val="right"/>
              <w:rPr>
                <w:rFonts w:ascii="Calibri" w:eastAsia="Times New Roman" w:hAnsi="Calibri" w:cs="Times New Roman"/>
                <w:color w:val="000000"/>
                <w:sz w:val="20"/>
                <w:szCs w:val="20"/>
              </w:rPr>
            </w:pPr>
            <w:r w:rsidRPr="005006BF">
              <w:rPr>
                <w:rFonts w:ascii="Calibri" w:eastAsia="Times New Roman" w:hAnsi="Calibri" w:cs="Times New Roman"/>
                <w:color w:val="000000"/>
                <w:sz w:val="20"/>
                <w:szCs w:val="20"/>
              </w:rPr>
              <w:t>8373</w:t>
            </w:r>
          </w:p>
        </w:tc>
        <w:tc>
          <w:tcPr>
            <w:tcW w:w="830" w:type="dxa"/>
            <w:tcBorders>
              <w:top w:val="nil"/>
              <w:left w:val="nil"/>
              <w:bottom w:val="single" w:sz="4" w:space="0" w:color="auto"/>
              <w:right w:val="single" w:sz="4" w:space="0" w:color="auto"/>
            </w:tcBorders>
            <w:shd w:val="clear" w:color="auto" w:fill="auto"/>
            <w:noWrap/>
            <w:vAlign w:val="bottom"/>
            <w:hideMark/>
          </w:tcPr>
          <w:p w14:paraId="63BE3D6B" w14:textId="77777777" w:rsidR="005006BF" w:rsidRPr="005006BF" w:rsidRDefault="005006BF" w:rsidP="005006BF">
            <w:pPr>
              <w:spacing w:after="0" w:line="240" w:lineRule="auto"/>
              <w:jc w:val="right"/>
              <w:rPr>
                <w:rFonts w:ascii="Calibri" w:eastAsia="Times New Roman" w:hAnsi="Calibri" w:cs="Times New Roman"/>
                <w:color w:val="000000"/>
                <w:sz w:val="20"/>
                <w:szCs w:val="20"/>
              </w:rPr>
            </w:pPr>
            <w:r w:rsidRPr="005006BF">
              <w:rPr>
                <w:rFonts w:ascii="Calibri" w:eastAsia="Times New Roman" w:hAnsi="Calibri" w:cs="Times New Roman"/>
                <w:color w:val="000000"/>
                <w:sz w:val="20"/>
                <w:szCs w:val="20"/>
              </w:rPr>
              <w:t>3349</w:t>
            </w:r>
          </w:p>
        </w:tc>
        <w:tc>
          <w:tcPr>
            <w:tcW w:w="885" w:type="dxa"/>
            <w:tcBorders>
              <w:top w:val="nil"/>
              <w:left w:val="nil"/>
              <w:bottom w:val="single" w:sz="4" w:space="0" w:color="auto"/>
              <w:right w:val="single" w:sz="4" w:space="0" w:color="auto"/>
            </w:tcBorders>
            <w:shd w:val="clear" w:color="auto" w:fill="auto"/>
            <w:noWrap/>
            <w:vAlign w:val="bottom"/>
            <w:hideMark/>
          </w:tcPr>
          <w:p w14:paraId="14471142" w14:textId="77777777" w:rsidR="005006BF" w:rsidRPr="005006BF" w:rsidRDefault="005006BF" w:rsidP="005006BF">
            <w:pPr>
              <w:spacing w:after="0" w:line="240" w:lineRule="auto"/>
              <w:jc w:val="right"/>
              <w:rPr>
                <w:rFonts w:ascii="Calibri" w:eastAsia="Times New Roman" w:hAnsi="Calibri" w:cs="Times New Roman"/>
                <w:color w:val="000000"/>
                <w:sz w:val="20"/>
                <w:szCs w:val="20"/>
              </w:rPr>
            </w:pPr>
            <w:r w:rsidRPr="005006BF">
              <w:rPr>
                <w:rFonts w:ascii="Calibri" w:eastAsia="Times New Roman" w:hAnsi="Calibri" w:cs="Times New Roman"/>
                <w:color w:val="000000"/>
                <w:sz w:val="20"/>
                <w:szCs w:val="20"/>
              </w:rPr>
              <w:t>1675</w:t>
            </w:r>
          </w:p>
        </w:tc>
        <w:tc>
          <w:tcPr>
            <w:tcW w:w="1132" w:type="dxa"/>
            <w:tcBorders>
              <w:top w:val="nil"/>
              <w:left w:val="nil"/>
              <w:bottom w:val="single" w:sz="4" w:space="0" w:color="auto"/>
              <w:right w:val="single" w:sz="4" w:space="0" w:color="auto"/>
            </w:tcBorders>
            <w:shd w:val="clear" w:color="auto" w:fill="auto"/>
            <w:noWrap/>
            <w:vAlign w:val="bottom"/>
            <w:hideMark/>
          </w:tcPr>
          <w:p w14:paraId="056DCD39" w14:textId="77777777" w:rsidR="005006BF" w:rsidRPr="005006BF" w:rsidRDefault="005006BF" w:rsidP="005006BF">
            <w:pPr>
              <w:spacing w:after="0" w:line="240" w:lineRule="auto"/>
              <w:jc w:val="right"/>
              <w:rPr>
                <w:rFonts w:ascii="Calibri" w:eastAsia="Times New Roman" w:hAnsi="Calibri" w:cs="Times New Roman"/>
                <w:color w:val="000000"/>
                <w:sz w:val="20"/>
                <w:szCs w:val="20"/>
              </w:rPr>
            </w:pPr>
            <w:r w:rsidRPr="005006BF">
              <w:rPr>
                <w:rFonts w:ascii="Calibri" w:eastAsia="Times New Roman" w:hAnsi="Calibri" w:cs="Times New Roman"/>
                <w:color w:val="000000"/>
                <w:sz w:val="20"/>
                <w:szCs w:val="20"/>
              </w:rPr>
              <w:t>837</w:t>
            </w:r>
          </w:p>
        </w:tc>
        <w:tc>
          <w:tcPr>
            <w:tcW w:w="1091" w:type="dxa"/>
            <w:tcBorders>
              <w:top w:val="nil"/>
              <w:left w:val="nil"/>
              <w:bottom w:val="single" w:sz="4" w:space="0" w:color="auto"/>
              <w:right w:val="single" w:sz="4" w:space="0" w:color="auto"/>
            </w:tcBorders>
            <w:shd w:val="clear" w:color="auto" w:fill="auto"/>
            <w:noWrap/>
            <w:vAlign w:val="bottom"/>
            <w:hideMark/>
          </w:tcPr>
          <w:p w14:paraId="6066B8AE" w14:textId="77777777" w:rsidR="005006BF" w:rsidRPr="005006BF" w:rsidRDefault="005006BF" w:rsidP="005006BF">
            <w:pPr>
              <w:spacing w:after="0" w:line="240" w:lineRule="auto"/>
              <w:jc w:val="right"/>
              <w:rPr>
                <w:rFonts w:ascii="Calibri" w:eastAsia="Times New Roman" w:hAnsi="Calibri" w:cs="Times New Roman"/>
                <w:color w:val="000000"/>
                <w:sz w:val="20"/>
                <w:szCs w:val="20"/>
              </w:rPr>
            </w:pPr>
            <w:r w:rsidRPr="005006BF">
              <w:rPr>
                <w:rFonts w:ascii="Calibri" w:eastAsia="Times New Roman" w:hAnsi="Calibri" w:cs="Times New Roman"/>
                <w:color w:val="000000"/>
                <w:sz w:val="20"/>
                <w:szCs w:val="20"/>
              </w:rPr>
              <w:t>544</w:t>
            </w:r>
          </w:p>
        </w:tc>
        <w:tc>
          <w:tcPr>
            <w:tcW w:w="1091" w:type="dxa"/>
            <w:tcBorders>
              <w:top w:val="nil"/>
              <w:left w:val="nil"/>
              <w:bottom w:val="single" w:sz="4" w:space="0" w:color="auto"/>
              <w:right w:val="single" w:sz="4" w:space="0" w:color="auto"/>
            </w:tcBorders>
            <w:shd w:val="clear" w:color="auto" w:fill="auto"/>
            <w:noWrap/>
            <w:vAlign w:val="bottom"/>
            <w:hideMark/>
          </w:tcPr>
          <w:p w14:paraId="5FC7D528" w14:textId="77777777" w:rsidR="005006BF" w:rsidRPr="005006BF" w:rsidRDefault="005006BF" w:rsidP="005006BF">
            <w:pPr>
              <w:spacing w:after="0" w:line="240" w:lineRule="auto"/>
              <w:jc w:val="right"/>
              <w:rPr>
                <w:rFonts w:ascii="Calibri" w:eastAsia="Times New Roman" w:hAnsi="Calibri" w:cs="Times New Roman"/>
                <w:color w:val="000000"/>
                <w:sz w:val="20"/>
                <w:szCs w:val="20"/>
              </w:rPr>
            </w:pPr>
            <w:r w:rsidRPr="005006BF">
              <w:rPr>
                <w:rFonts w:ascii="Calibri" w:eastAsia="Times New Roman" w:hAnsi="Calibri" w:cs="Times New Roman"/>
                <w:color w:val="000000"/>
                <w:sz w:val="20"/>
                <w:szCs w:val="20"/>
              </w:rPr>
              <w:t>408</w:t>
            </w:r>
          </w:p>
        </w:tc>
        <w:tc>
          <w:tcPr>
            <w:tcW w:w="1077" w:type="dxa"/>
            <w:tcBorders>
              <w:top w:val="nil"/>
              <w:left w:val="nil"/>
              <w:bottom w:val="single" w:sz="4" w:space="0" w:color="auto"/>
              <w:right w:val="single" w:sz="4" w:space="0" w:color="auto"/>
            </w:tcBorders>
            <w:shd w:val="clear" w:color="auto" w:fill="auto"/>
            <w:noWrap/>
            <w:vAlign w:val="bottom"/>
            <w:hideMark/>
          </w:tcPr>
          <w:p w14:paraId="10495998" w14:textId="77777777" w:rsidR="005006BF" w:rsidRPr="005006BF" w:rsidRDefault="005006BF" w:rsidP="005006BF">
            <w:pPr>
              <w:spacing w:after="0" w:line="240" w:lineRule="auto"/>
              <w:jc w:val="right"/>
              <w:rPr>
                <w:rFonts w:ascii="Calibri" w:eastAsia="Times New Roman" w:hAnsi="Calibri" w:cs="Times New Roman"/>
                <w:color w:val="000000"/>
                <w:sz w:val="20"/>
                <w:szCs w:val="20"/>
              </w:rPr>
            </w:pPr>
            <w:r w:rsidRPr="005006BF">
              <w:rPr>
                <w:rFonts w:ascii="Calibri" w:eastAsia="Times New Roman" w:hAnsi="Calibri" w:cs="Times New Roman"/>
                <w:color w:val="000000"/>
                <w:sz w:val="20"/>
                <w:szCs w:val="20"/>
              </w:rPr>
              <w:t>204</w:t>
            </w:r>
          </w:p>
        </w:tc>
        <w:tc>
          <w:tcPr>
            <w:tcW w:w="1068" w:type="dxa"/>
            <w:tcBorders>
              <w:top w:val="nil"/>
              <w:left w:val="nil"/>
              <w:bottom w:val="single" w:sz="4" w:space="0" w:color="auto"/>
              <w:right w:val="single" w:sz="4" w:space="0" w:color="auto"/>
            </w:tcBorders>
            <w:shd w:val="clear" w:color="auto" w:fill="auto"/>
            <w:noWrap/>
            <w:vAlign w:val="bottom"/>
            <w:hideMark/>
          </w:tcPr>
          <w:p w14:paraId="68FECB92" w14:textId="77777777" w:rsidR="005006BF" w:rsidRPr="005006BF" w:rsidRDefault="005006BF" w:rsidP="005006BF">
            <w:pPr>
              <w:spacing w:after="0" w:line="240" w:lineRule="auto"/>
              <w:jc w:val="right"/>
              <w:rPr>
                <w:rFonts w:ascii="Calibri" w:eastAsia="Times New Roman" w:hAnsi="Calibri" w:cs="Times New Roman"/>
                <w:color w:val="000000"/>
                <w:sz w:val="20"/>
                <w:szCs w:val="20"/>
              </w:rPr>
            </w:pPr>
            <w:r w:rsidRPr="005006BF">
              <w:rPr>
                <w:rFonts w:ascii="Calibri" w:eastAsia="Times New Roman" w:hAnsi="Calibri" w:cs="Times New Roman"/>
                <w:color w:val="000000"/>
                <w:sz w:val="20"/>
                <w:szCs w:val="20"/>
              </w:rPr>
              <w:t>143</w:t>
            </w:r>
          </w:p>
        </w:tc>
        <w:tc>
          <w:tcPr>
            <w:tcW w:w="686" w:type="dxa"/>
            <w:tcBorders>
              <w:top w:val="nil"/>
              <w:left w:val="nil"/>
              <w:bottom w:val="single" w:sz="4" w:space="0" w:color="auto"/>
              <w:right w:val="single" w:sz="4" w:space="0" w:color="auto"/>
            </w:tcBorders>
            <w:shd w:val="clear" w:color="auto" w:fill="auto"/>
            <w:noWrap/>
            <w:vAlign w:val="bottom"/>
            <w:hideMark/>
          </w:tcPr>
          <w:p w14:paraId="11D49874" w14:textId="77777777" w:rsidR="005006BF" w:rsidRPr="005006BF" w:rsidRDefault="005006BF" w:rsidP="005006BF">
            <w:pPr>
              <w:spacing w:after="0" w:line="240" w:lineRule="auto"/>
              <w:jc w:val="right"/>
              <w:rPr>
                <w:rFonts w:ascii="Calibri" w:eastAsia="Times New Roman" w:hAnsi="Calibri" w:cs="Times New Roman"/>
                <w:color w:val="000000"/>
                <w:sz w:val="20"/>
                <w:szCs w:val="20"/>
              </w:rPr>
            </w:pPr>
            <w:r w:rsidRPr="005006BF">
              <w:rPr>
                <w:rFonts w:ascii="Calibri" w:eastAsia="Times New Roman" w:hAnsi="Calibri" w:cs="Times New Roman"/>
                <w:color w:val="000000"/>
                <w:sz w:val="20"/>
                <w:szCs w:val="20"/>
              </w:rPr>
              <w:t>100</w:t>
            </w:r>
          </w:p>
        </w:tc>
      </w:tr>
      <w:tr w:rsidR="008B6ECA" w:rsidRPr="008B6ECA" w14:paraId="2E4678FB" w14:textId="77777777" w:rsidTr="008B6ECA">
        <w:trPr>
          <w:trHeight w:val="195"/>
        </w:trPr>
        <w:tc>
          <w:tcPr>
            <w:tcW w:w="1404" w:type="dxa"/>
            <w:tcBorders>
              <w:top w:val="nil"/>
              <w:left w:val="single" w:sz="4" w:space="0" w:color="auto"/>
              <w:bottom w:val="single" w:sz="4" w:space="0" w:color="auto"/>
              <w:right w:val="single" w:sz="4" w:space="0" w:color="auto"/>
            </w:tcBorders>
            <w:shd w:val="clear" w:color="auto" w:fill="auto"/>
            <w:noWrap/>
            <w:vAlign w:val="bottom"/>
            <w:hideMark/>
          </w:tcPr>
          <w:p w14:paraId="47BB1EED" w14:textId="77777777" w:rsidR="005006BF" w:rsidRPr="005006BF" w:rsidRDefault="005006BF" w:rsidP="005006BF">
            <w:pPr>
              <w:spacing w:after="0" w:line="240" w:lineRule="auto"/>
              <w:rPr>
                <w:rFonts w:ascii="Calibri" w:eastAsia="Times New Roman" w:hAnsi="Calibri" w:cs="Times New Roman"/>
                <w:b/>
                <w:bCs/>
                <w:color w:val="000000"/>
                <w:sz w:val="20"/>
                <w:szCs w:val="20"/>
              </w:rPr>
            </w:pPr>
            <w:r w:rsidRPr="005006BF">
              <w:rPr>
                <w:rFonts w:ascii="Calibri" w:eastAsia="Times New Roman" w:hAnsi="Calibri" w:cs="Times New Roman"/>
                <w:b/>
                <w:bCs/>
                <w:color w:val="000000"/>
                <w:sz w:val="20"/>
                <w:szCs w:val="20"/>
              </w:rPr>
              <w:t>Conservative Weekly</w:t>
            </w:r>
          </w:p>
        </w:tc>
        <w:tc>
          <w:tcPr>
            <w:tcW w:w="1396" w:type="dxa"/>
            <w:tcBorders>
              <w:top w:val="nil"/>
              <w:left w:val="nil"/>
              <w:bottom w:val="single" w:sz="4" w:space="0" w:color="auto"/>
              <w:right w:val="single" w:sz="4" w:space="0" w:color="auto"/>
            </w:tcBorders>
            <w:shd w:val="clear" w:color="auto" w:fill="auto"/>
            <w:noWrap/>
            <w:vAlign w:val="bottom"/>
            <w:hideMark/>
          </w:tcPr>
          <w:p w14:paraId="709E37B9" w14:textId="77777777" w:rsidR="005006BF" w:rsidRPr="005006BF" w:rsidRDefault="005006BF" w:rsidP="005006BF">
            <w:pPr>
              <w:spacing w:after="0" w:line="240" w:lineRule="auto"/>
              <w:jc w:val="right"/>
              <w:rPr>
                <w:rFonts w:ascii="Calibri" w:eastAsia="Times New Roman" w:hAnsi="Calibri" w:cs="Times New Roman"/>
                <w:color w:val="000000"/>
                <w:sz w:val="20"/>
                <w:szCs w:val="20"/>
              </w:rPr>
            </w:pPr>
            <w:r w:rsidRPr="005006BF">
              <w:rPr>
                <w:rFonts w:ascii="Calibri" w:eastAsia="Times New Roman" w:hAnsi="Calibri" w:cs="Times New Roman"/>
                <w:color w:val="000000"/>
                <w:sz w:val="20"/>
                <w:szCs w:val="20"/>
              </w:rPr>
              <w:t>209</w:t>
            </w:r>
          </w:p>
        </w:tc>
        <w:tc>
          <w:tcPr>
            <w:tcW w:w="830" w:type="dxa"/>
            <w:tcBorders>
              <w:top w:val="nil"/>
              <w:left w:val="nil"/>
              <w:bottom w:val="single" w:sz="4" w:space="0" w:color="auto"/>
              <w:right w:val="single" w:sz="4" w:space="0" w:color="auto"/>
            </w:tcBorders>
            <w:shd w:val="clear" w:color="auto" w:fill="auto"/>
            <w:noWrap/>
            <w:vAlign w:val="bottom"/>
            <w:hideMark/>
          </w:tcPr>
          <w:p w14:paraId="00CC94F2" w14:textId="77777777" w:rsidR="005006BF" w:rsidRPr="005006BF" w:rsidRDefault="005006BF" w:rsidP="005006BF">
            <w:pPr>
              <w:spacing w:after="0" w:line="240" w:lineRule="auto"/>
              <w:jc w:val="right"/>
              <w:rPr>
                <w:rFonts w:ascii="Calibri" w:eastAsia="Times New Roman" w:hAnsi="Calibri" w:cs="Times New Roman"/>
                <w:color w:val="000000"/>
                <w:sz w:val="20"/>
                <w:szCs w:val="20"/>
              </w:rPr>
            </w:pPr>
            <w:r w:rsidRPr="005006BF">
              <w:rPr>
                <w:rFonts w:ascii="Calibri" w:eastAsia="Times New Roman" w:hAnsi="Calibri" w:cs="Times New Roman"/>
                <w:color w:val="000000"/>
                <w:sz w:val="20"/>
                <w:szCs w:val="20"/>
              </w:rPr>
              <w:t>84</w:t>
            </w:r>
          </w:p>
        </w:tc>
        <w:tc>
          <w:tcPr>
            <w:tcW w:w="885" w:type="dxa"/>
            <w:tcBorders>
              <w:top w:val="nil"/>
              <w:left w:val="nil"/>
              <w:bottom w:val="single" w:sz="4" w:space="0" w:color="auto"/>
              <w:right w:val="single" w:sz="4" w:space="0" w:color="auto"/>
            </w:tcBorders>
            <w:shd w:val="clear" w:color="auto" w:fill="auto"/>
            <w:noWrap/>
            <w:vAlign w:val="bottom"/>
            <w:hideMark/>
          </w:tcPr>
          <w:p w14:paraId="437AA835" w14:textId="77777777" w:rsidR="005006BF" w:rsidRPr="005006BF" w:rsidRDefault="005006BF" w:rsidP="005006BF">
            <w:pPr>
              <w:spacing w:after="0" w:line="240" w:lineRule="auto"/>
              <w:jc w:val="right"/>
              <w:rPr>
                <w:rFonts w:ascii="Calibri" w:eastAsia="Times New Roman" w:hAnsi="Calibri" w:cs="Times New Roman"/>
                <w:color w:val="000000"/>
                <w:sz w:val="20"/>
                <w:szCs w:val="20"/>
              </w:rPr>
            </w:pPr>
            <w:r w:rsidRPr="005006BF">
              <w:rPr>
                <w:rFonts w:ascii="Calibri" w:eastAsia="Times New Roman" w:hAnsi="Calibri" w:cs="Times New Roman"/>
                <w:color w:val="000000"/>
                <w:sz w:val="20"/>
                <w:szCs w:val="20"/>
              </w:rPr>
              <w:t>42</w:t>
            </w:r>
          </w:p>
        </w:tc>
        <w:tc>
          <w:tcPr>
            <w:tcW w:w="1132" w:type="dxa"/>
            <w:tcBorders>
              <w:top w:val="nil"/>
              <w:left w:val="nil"/>
              <w:bottom w:val="single" w:sz="4" w:space="0" w:color="auto"/>
              <w:right w:val="single" w:sz="4" w:space="0" w:color="auto"/>
            </w:tcBorders>
            <w:shd w:val="clear" w:color="auto" w:fill="auto"/>
            <w:noWrap/>
            <w:vAlign w:val="bottom"/>
            <w:hideMark/>
          </w:tcPr>
          <w:p w14:paraId="5393DE1C" w14:textId="77777777" w:rsidR="005006BF" w:rsidRPr="005006BF" w:rsidRDefault="005006BF" w:rsidP="005006BF">
            <w:pPr>
              <w:spacing w:after="0" w:line="240" w:lineRule="auto"/>
              <w:jc w:val="right"/>
              <w:rPr>
                <w:rFonts w:ascii="Calibri" w:eastAsia="Times New Roman" w:hAnsi="Calibri" w:cs="Times New Roman"/>
                <w:color w:val="000000"/>
                <w:sz w:val="20"/>
                <w:szCs w:val="20"/>
              </w:rPr>
            </w:pPr>
            <w:r w:rsidRPr="005006BF">
              <w:rPr>
                <w:rFonts w:ascii="Calibri" w:eastAsia="Times New Roman" w:hAnsi="Calibri" w:cs="Times New Roman"/>
                <w:color w:val="000000"/>
                <w:sz w:val="20"/>
                <w:szCs w:val="20"/>
              </w:rPr>
              <w:t>21</w:t>
            </w:r>
          </w:p>
        </w:tc>
        <w:tc>
          <w:tcPr>
            <w:tcW w:w="1091" w:type="dxa"/>
            <w:tcBorders>
              <w:top w:val="nil"/>
              <w:left w:val="nil"/>
              <w:bottom w:val="single" w:sz="4" w:space="0" w:color="auto"/>
              <w:right w:val="single" w:sz="4" w:space="0" w:color="auto"/>
            </w:tcBorders>
            <w:shd w:val="clear" w:color="auto" w:fill="auto"/>
            <w:noWrap/>
            <w:vAlign w:val="bottom"/>
            <w:hideMark/>
          </w:tcPr>
          <w:p w14:paraId="6ABCA9D7" w14:textId="77777777" w:rsidR="005006BF" w:rsidRPr="005006BF" w:rsidRDefault="005006BF" w:rsidP="005006BF">
            <w:pPr>
              <w:spacing w:after="0" w:line="240" w:lineRule="auto"/>
              <w:jc w:val="right"/>
              <w:rPr>
                <w:rFonts w:ascii="Calibri" w:eastAsia="Times New Roman" w:hAnsi="Calibri" w:cs="Times New Roman"/>
                <w:color w:val="000000"/>
                <w:sz w:val="20"/>
                <w:szCs w:val="20"/>
              </w:rPr>
            </w:pPr>
            <w:r w:rsidRPr="005006BF">
              <w:rPr>
                <w:rFonts w:ascii="Calibri" w:eastAsia="Times New Roman" w:hAnsi="Calibri" w:cs="Times New Roman"/>
                <w:color w:val="000000"/>
                <w:sz w:val="20"/>
                <w:szCs w:val="20"/>
              </w:rPr>
              <w:t>14</w:t>
            </w:r>
          </w:p>
        </w:tc>
        <w:tc>
          <w:tcPr>
            <w:tcW w:w="1091" w:type="dxa"/>
            <w:tcBorders>
              <w:top w:val="nil"/>
              <w:left w:val="nil"/>
              <w:bottom w:val="single" w:sz="4" w:space="0" w:color="auto"/>
              <w:right w:val="single" w:sz="4" w:space="0" w:color="auto"/>
            </w:tcBorders>
            <w:shd w:val="clear" w:color="auto" w:fill="auto"/>
            <w:noWrap/>
            <w:vAlign w:val="bottom"/>
            <w:hideMark/>
          </w:tcPr>
          <w:p w14:paraId="62CC9CDB" w14:textId="77777777" w:rsidR="005006BF" w:rsidRPr="005006BF" w:rsidRDefault="005006BF" w:rsidP="005006BF">
            <w:pPr>
              <w:spacing w:after="0" w:line="240" w:lineRule="auto"/>
              <w:jc w:val="right"/>
              <w:rPr>
                <w:rFonts w:ascii="Calibri" w:eastAsia="Times New Roman" w:hAnsi="Calibri" w:cs="Times New Roman"/>
                <w:color w:val="000000"/>
                <w:sz w:val="20"/>
                <w:szCs w:val="20"/>
              </w:rPr>
            </w:pPr>
            <w:r w:rsidRPr="005006BF">
              <w:rPr>
                <w:rFonts w:ascii="Calibri" w:eastAsia="Times New Roman" w:hAnsi="Calibri" w:cs="Times New Roman"/>
                <w:color w:val="000000"/>
                <w:sz w:val="20"/>
                <w:szCs w:val="20"/>
              </w:rPr>
              <w:t>10</w:t>
            </w:r>
          </w:p>
        </w:tc>
        <w:tc>
          <w:tcPr>
            <w:tcW w:w="1077" w:type="dxa"/>
            <w:tcBorders>
              <w:top w:val="nil"/>
              <w:left w:val="nil"/>
              <w:bottom w:val="single" w:sz="4" w:space="0" w:color="auto"/>
              <w:right w:val="single" w:sz="4" w:space="0" w:color="auto"/>
            </w:tcBorders>
            <w:shd w:val="clear" w:color="auto" w:fill="auto"/>
            <w:noWrap/>
            <w:vAlign w:val="bottom"/>
            <w:hideMark/>
          </w:tcPr>
          <w:p w14:paraId="5EAA7225" w14:textId="77777777" w:rsidR="005006BF" w:rsidRPr="005006BF" w:rsidRDefault="005006BF" w:rsidP="005006BF">
            <w:pPr>
              <w:spacing w:after="0" w:line="240" w:lineRule="auto"/>
              <w:jc w:val="right"/>
              <w:rPr>
                <w:rFonts w:ascii="Calibri" w:eastAsia="Times New Roman" w:hAnsi="Calibri" w:cs="Times New Roman"/>
                <w:color w:val="000000"/>
                <w:sz w:val="20"/>
                <w:szCs w:val="20"/>
              </w:rPr>
            </w:pPr>
            <w:r w:rsidRPr="005006BF">
              <w:rPr>
                <w:rFonts w:ascii="Calibri" w:eastAsia="Times New Roman" w:hAnsi="Calibri" w:cs="Times New Roman"/>
                <w:color w:val="000000"/>
                <w:sz w:val="20"/>
                <w:szCs w:val="20"/>
              </w:rPr>
              <w:t>5</w:t>
            </w:r>
          </w:p>
        </w:tc>
        <w:tc>
          <w:tcPr>
            <w:tcW w:w="1068" w:type="dxa"/>
            <w:tcBorders>
              <w:top w:val="nil"/>
              <w:left w:val="nil"/>
              <w:bottom w:val="single" w:sz="4" w:space="0" w:color="auto"/>
              <w:right w:val="single" w:sz="4" w:space="0" w:color="auto"/>
            </w:tcBorders>
            <w:shd w:val="clear" w:color="auto" w:fill="auto"/>
            <w:noWrap/>
            <w:vAlign w:val="bottom"/>
            <w:hideMark/>
          </w:tcPr>
          <w:p w14:paraId="4BE9E78F" w14:textId="77777777" w:rsidR="005006BF" w:rsidRPr="005006BF" w:rsidRDefault="005006BF" w:rsidP="005006BF">
            <w:pPr>
              <w:spacing w:after="0" w:line="240" w:lineRule="auto"/>
              <w:jc w:val="right"/>
              <w:rPr>
                <w:rFonts w:ascii="Calibri" w:eastAsia="Times New Roman" w:hAnsi="Calibri" w:cs="Times New Roman"/>
                <w:color w:val="000000"/>
                <w:sz w:val="20"/>
                <w:szCs w:val="20"/>
              </w:rPr>
            </w:pPr>
            <w:r w:rsidRPr="005006BF">
              <w:rPr>
                <w:rFonts w:ascii="Calibri" w:eastAsia="Times New Roman" w:hAnsi="Calibri" w:cs="Times New Roman"/>
                <w:color w:val="000000"/>
                <w:sz w:val="20"/>
                <w:szCs w:val="20"/>
              </w:rPr>
              <w:t>4</w:t>
            </w:r>
          </w:p>
        </w:tc>
        <w:tc>
          <w:tcPr>
            <w:tcW w:w="686" w:type="dxa"/>
            <w:tcBorders>
              <w:top w:val="nil"/>
              <w:left w:val="nil"/>
              <w:bottom w:val="single" w:sz="4" w:space="0" w:color="auto"/>
              <w:right w:val="single" w:sz="4" w:space="0" w:color="auto"/>
            </w:tcBorders>
            <w:shd w:val="clear" w:color="auto" w:fill="auto"/>
            <w:noWrap/>
            <w:vAlign w:val="bottom"/>
            <w:hideMark/>
          </w:tcPr>
          <w:p w14:paraId="676524ED" w14:textId="77777777" w:rsidR="005006BF" w:rsidRPr="005006BF" w:rsidRDefault="005006BF" w:rsidP="005006BF">
            <w:pPr>
              <w:spacing w:after="0" w:line="240" w:lineRule="auto"/>
              <w:jc w:val="right"/>
              <w:rPr>
                <w:rFonts w:ascii="Calibri" w:eastAsia="Times New Roman" w:hAnsi="Calibri" w:cs="Times New Roman"/>
                <w:color w:val="000000"/>
                <w:sz w:val="20"/>
                <w:szCs w:val="20"/>
              </w:rPr>
            </w:pPr>
            <w:r w:rsidRPr="005006BF">
              <w:rPr>
                <w:rFonts w:ascii="Calibri" w:eastAsia="Times New Roman" w:hAnsi="Calibri" w:cs="Times New Roman"/>
                <w:color w:val="000000"/>
                <w:sz w:val="20"/>
                <w:szCs w:val="20"/>
              </w:rPr>
              <w:t>3</w:t>
            </w:r>
          </w:p>
        </w:tc>
      </w:tr>
      <w:tr w:rsidR="008B6ECA" w:rsidRPr="008B6ECA" w14:paraId="753A76DC" w14:textId="77777777" w:rsidTr="008B6ECA">
        <w:trPr>
          <w:trHeight w:val="195"/>
        </w:trPr>
        <w:tc>
          <w:tcPr>
            <w:tcW w:w="1404" w:type="dxa"/>
            <w:tcBorders>
              <w:top w:val="nil"/>
              <w:left w:val="single" w:sz="4" w:space="0" w:color="auto"/>
              <w:bottom w:val="single" w:sz="4" w:space="0" w:color="auto"/>
              <w:right w:val="single" w:sz="4" w:space="0" w:color="auto"/>
            </w:tcBorders>
            <w:shd w:val="clear" w:color="auto" w:fill="auto"/>
            <w:noWrap/>
            <w:vAlign w:val="bottom"/>
            <w:hideMark/>
          </w:tcPr>
          <w:p w14:paraId="609C09B3" w14:textId="77777777" w:rsidR="005006BF" w:rsidRPr="005006BF" w:rsidRDefault="005006BF" w:rsidP="005006BF">
            <w:pPr>
              <w:spacing w:after="0" w:line="240" w:lineRule="auto"/>
              <w:rPr>
                <w:rFonts w:ascii="Calibri" w:eastAsia="Times New Roman" w:hAnsi="Calibri" w:cs="Times New Roman"/>
                <w:b/>
                <w:bCs/>
                <w:color w:val="000000"/>
                <w:sz w:val="20"/>
                <w:szCs w:val="20"/>
              </w:rPr>
            </w:pPr>
            <w:r w:rsidRPr="005006BF">
              <w:rPr>
                <w:rFonts w:ascii="Calibri" w:eastAsia="Times New Roman" w:hAnsi="Calibri" w:cs="Times New Roman"/>
                <w:b/>
                <w:bCs/>
                <w:color w:val="000000"/>
                <w:sz w:val="20"/>
                <w:szCs w:val="20"/>
              </w:rPr>
              <w:t> </w:t>
            </w:r>
          </w:p>
        </w:tc>
        <w:tc>
          <w:tcPr>
            <w:tcW w:w="1396" w:type="dxa"/>
            <w:tcBorders>
              <w:top w:val="nil"/>
              <w:left w:val="nil"/>
              <w:bottom w:val="single" w:sz="4" w:space="0" w:color="auto"/>
              <w:right w:val="single" w:sz="4" w:space="0" w:color="auto"/>
            </w:tcBorders>
            <w:shd w:val="clear" w:color="auto" w:fill="auto"/>
            <w:noWrap/>
            <w:vAlign w:val="bottom"/>
            <w:hideMark/>
          </w:tcPr>
          <w:p w14:paraId="5D2D1408" w14:textId="77777777" w:rsidR="005006BF" w:rsidRPr="005006BF" w:rsidRDefault="005006BF" w:rsidP="005006BF">
            <w:pPr>
              <w:spacing w:after="0" w:line="240" w:lineRule="auto"/>
              <w:rPr>
                <w:rFonts w:ascii="Calibri" w:eastAsia="Times New Roman" w:hAnsi="Calibri" w:cs="Times New Roman"/>
                <w:color w:val="000000"/>
                <w:sz w:val="20"/>
                <w:szCs w:val="20"/>
              </w:rPr>
            </w:pPr>
            <w:r w:rsidRPr="005006BF">
              <w:rPr>
                <w:rFonts w:ascii="Calibri" w:eastAsia="Times New Roman" w:hAnsi="Calibri" w:cs="Times New Roman"/>
                <w:color w:val="000000"/>
                <w:sz w:val="20"/>
                <w:szCs w:val="20"/>
              </w:rPr>
              <w:t> </w:t>
            </w:r>
          </w:p>
        </w:tc>
        <w:tc>
          <w:tcPr>
            <w:tcW w:w="830" w:type="dxa"/>
            <w:tcBorders>
              <w:top w:val="nil"/>
              <w:left w:val="nil"/>
              <w:bottom w:val="single" w:sz="4" w:space="0" w:color="auto"/>
              <w:right w:val="single" w:sz="4" w:space="0" w:color="auto"/>
            </w:tcBorders>
            <w:shd w:val="clear" w:color="auto" w:fill="auto"/>
            <w:noWrap/>
            <w:vAlign w:val="bottom"/>
            <w:hideMark/>
          </w:tcPr>
          <w:p w14:paraId="2566685A" w14:textId="77777777" w:rsidR="005006BF" w:rsidRPr="005006BF" w:rsidRDefault="005006BF" w:rsidP="005006BF">
            <w:pPr>
              <w:spacing w:after="0" w:line="240" w:lineRule="auto"/>
              <w:rPr>
                <w:rFonts w:ascii="Calibri" w:eastAsia="Times New Roman" w:hAnsi="Calibri" w:cs="Times New Roman"/>
                <w:color w:val="000000"/>
                <w:sz w:val="20"/>
                <w:szCs w:val="20"/>
              </w:rPr>
            </w:pPr>
            <w:r w:rsidRPr="005006BF">
              <w:rPr>
                <w:rFonts w:ascii="Calibri" w:eastAsia="Times New Roman" w:hAnsi="Calibri" w:cs="Times New Roman"/>
                <w:color w:val="000000"/>
                <w:sz w:val="20"/>
                <w:szCs w:val="20"/>
              </w:rPr>
              <w:t> </w:t>
            </w:r>
          </w:p>
        </w:tc>
        <w:tc>
          <w:tcPr>
            <w:tcW w:w="885" w:type="dxa"/>
            <w:tcBorders>
              <w:top w:val="nil"/>
              <w:left w:val="nil"/>
              <w:bottom w:val="single" w:sz="4" w:space="0" w:color="auto"/>
              <w:right w:val="single" w:sz="4" w:space="0" w:color="auto"/>
            </w:tcBorders>
            <w:shd w:val="clear" w:color="auto" w:fill="auto"/>
            <w:noWrap/>
            <w:vAlign w:val="bottom"/>
            <w:hideMark/>
          </w:tcPr>
          <w:p w14:paraId="64BDF852" w14:textId="77777777" w:rsidR="005006BF" w:rsidRPr="005006BF" w:rsidRDefault="005006BF" w:rsidP="005006BF">
            <w:pPr>
              <w:spacing w:after="0" w:line="240" w:lineRule="auto"/>
              <w:rPr>
                <w:rFonts w:ascii="Calibri" w:eastAsia="Times New Roman" w:hAnsi="Calibri" w:cs="Times New Roman"/>
                <w:color w:val="000000"/>
                <w:sz w:val="20"/>
                <w:szCs w:val="20"/>
              </w:rPr>
            </w:pPr>
            <w:r w:rsidRPr="005006BF">
              <w:rPr>
                <w:rFonts w:ascii="Calibri" w:eastAsia="Times New Roman" w:hAnsi="Calibri" w:cs="Times New Roman"/>
                <w:color w:val="000000"/>
                <w:sz w:val="20"/>
                <w:szCs w:val="20"/>
              </w:rPr>
              <w:t> </w:t>
            </w:r>
          </w:p>
        </w:tc>
        <w:tc>
          <w:tcPr>
            <w:tcW w:w="1132" w:type="dxa"/>
            <w:tcBorders>
              <w:top w:val="nil"/>
              <w:left w:val="nil"/>
              <w:bottom w:val="single" w:sz="4" w:space="0" w:color="auto"/>
              <w:right w:val="single" w:sz="4" w:space="0" w:color="auto"/>
            </w:tcBorders>
            <w:shd w:val="clear" w:color="auto" w:fill="auto"/>
            <w:noWrap/>
            <w:vAlign w:val="bottom"/>
            <w:hideMark/>
          </w:tcPr>
          <w:p w14:paraId="66EC4165" w14:textId="77777777" w:rsidR="005006BF" w:rsidRPr="005006BF" w:rsidRDefault="005006BF" w:rsidP="005006BF">
            <w:pPr>
              <w:spacing w:after="0" w:line="240" w:lineRule="auto"/>
              <w:rPr>
                <w:rFonts w:ascii="Calibri" w:eastAsia="Times New Roman" w:hAnsi="Calibri" w:cs="Times New Roman"/>
                <w:color w:val="000000"/>
                <w:sz w:val="20"/>
                <w:szCs w:val="20"/>
              </w:rPr>
            </w:pPr>
            <w:r w:rsidRPr="005006BF">
              <w:rPr>
                <w:rFonts w:ascii="Calibri" w:eastAsia="Times New Roman" w:hAnsi="Calibri" w:cs="Times New Roman"/>
                <w:color w:val="000000"/>
                <w:sz w:val="20"/>
                <w:szCs w:val="20"/>
              </w:rPr>
              <w:t> </w:t>
            </w:r>
          </w:p>
        </w:tc>
        <w:tc>
          <w:tcPr>
            <w:tcW w:w="1091" w:type="dxa"/>
            <w:tcBorders>
              <w:top w:val="nil"/>
              <w:left w:val="nil"/>
              <w:bottom w:val="single" w:sz="4" w:space="0" w:color="auto"/>
              <w:right w:val="single" w:sz="4" w:space="0" w:color="auto"/>
            </w:tcBorders>
            <w:shd w:val="clear" w:color="auto" w:fill="auto"/>
            <w:noWrap/>
            <w:vAlign w:val="bottom"/>
            <w:hideMark/>
          </w:tcPr>
          <w:p w14:paraId="1095B735" w14:textId="77777777" w:rsidR="005006BF" w:rsidRPr="005006BF" w:rsidRDefault="005006BF" w:rsidP="005006BF">
            <w:pPr>
              <w:spacing w:after="0" w:line="240" w:lineRule="auto"/>
              <w:rPr>
                <w:rFonts w:ascii="Calibri" w:eastAsia="Times New Roman" w:hAnsi="Calibri" w:cs="Times New Roman"/>
                <w:color w:val="000000"/>
                <w:sz w:val="20"/>
                <w:szCs w:val="20"/>
              </w:rPr>
            </w:pPr>
            <w:r w:rsidRPr="005006BF">
              <w:rPr>
                <w:rFonts w:ascii="Calibri" w:eastAsia="Times New Roman" w:hAnsi="Calibri" w:cs="Times New Roman"/>
                <w:color w:val="000000"/>
                <w:sz w:val="20"/>
                <w:szCs w:val="20"/>
              </w:rPr>
              <w:t> </w:t>
            </w:r>
          </w:p>
        </w:tc>
        <w:tc>
          <w:tcPr>
            <w:tcW w:w="1091" w:type="dxa"/>
            <w:tcBorders>
              <w:top w:val="nil"/>
              <w:left w:val="nil"/>
              <w:bottom w:val="single" w:sz="4" w:space="0" w:color="auto"/>
              <w:right w:val="single" w:sz="4" w:space="0" w:color="auto"/>
            </w:tcBorders>
            <w:shd w:val="clear" w:color="auto" w:fill="auto"/>
            <w:noWrap/>
            <w:vAlign w:val="bottom"/>
            <w:hideMark/>
          </w:tcPr>
          <w:p w14:paraId="5AA214DD" w14:textId="77777777" w:rsidR="005006BF" w:rsidRPr="005006BF" w:rsidRDefault="005006BF" w:rsidP="005006BF">
            <w:pPr>
              <w:spacing w:after="0" w:line="240" w:lineRule="auto"/>
              <w:rPr>
                <w:rFonts w:ascii="Calibri" w:eastAsia="Times New Roman" w:hAnsi="Calibri" w:cs="Times New Roman"/>
                <w:color w:val="000000"/>
                <w:sz w:val="20"/>
                <w:szCs w:val="20"/>
              </w:rPr>
            </w:pPr>
            <w:r w:rsidRPr="005006BF">
              <w:rPr>
                <w:rFonts w:ascii="Calibri" w:eastAsia="Times New Roman" w:hAnsi="Calibri" w:cs="Times New Roman"/>
                <w:color w:val="000000"/>
                <w:sz w:val="20"/>
                <w:szCs w:val="20"/>
              </w:rPr>
              <w:t> </w:t>
            </w:r>
          </w:p>
        </w:tc>
        <w:tc>
          <w:tcPr>
            <w:tcW w:w="1077" w:type="dxa"/>
            <w:tcBorders>
              <w:top w:val="nil"/>
              <w:left w:val="nil"/>
              <w:bottom w:val="single" w:sz="4" w:space="0" w:color="auto"/>
              <w:right w:val="single" w:sz="4" w:space="0" w:color="auto"/>
            </w:tcBorders>
            <w:shd w:val="clear" w:color="auto" w:fill="auto"/>
            <w:noWrap/>
            <w:vAlign w:val="bottom"/>
            <w:hideMark/>
          </w:tcPr>
          <w:p w14:paraId="17074D5C" w14:textId="77777777" w:rsidR="005006BF" w:rsidRPr="005006BF" w:rsidRDefault="005006BF" w:rsidP="005006BF">
            <w:pPr>
              <w:spacing w:after="0" w:line="240" w:lineRule="auto"/>
              <w:rPr>
                <w:rFonts w:ascii="Calibri" w:eastAsia="Times New Roman" w:hAnsi="Calibri" w:cs="Times New Roman"/>
                <w:color w:val="000000"/>
                <w:sz w:val="20"/>
                <w:szCs w:val="20"/>
              </w:rPr>
            </w:pPr>
            <w:r w:rsidRPr="005006BF">
              <w:rPr>
                <w:rFonts w:ascii="Calibri" w:eastAsia="Times New Roman" w:hAnsi="Calibri" w:cs="Times New Roman"/>
                <w:color w:val="000000"/>
                <w:sz w:val="20"/>
                <w:szCs w:val="20"/>
              </w:rPr>
              <w:t> </w:t>
            </w:r>
          </w:p>
        </w:tc>
        <w:tc>
          <w:tcPr>
            <w:tcW w:w="1068" w:type="dxa"/>
            <w:tcBorders>
              <w:top w:val="nil"/>
              <w:left w:val="nil"/>
              <w:bottom w:val="single" w:sz="4" w:space="0" w:color="auto"/>
              <w:right w:val="single" w:sz="4" w:space="0" w:color="auto"/>
            </w:tcBorders>
            <w:shd w:val="clear" w:color="auto" w:fill="auto"/>
            <w:noWrap/>
            <w:vAlign w:val="bottom"/>
            <w:hideMark/>
          </w:tcPr>
          <w:p w14:paraId="0E2F8B8E" w14:textId="77777777" w:rsidR="005006BF" w:rsidRPr="005006BF" w:rsidRDefault="005006BF" w:rsidP="005006BF">
            <w:pPr>
              <w:spacing w:after="0" w:line="240" w:lineRule="auto"/>
              <w:rPr>
                <w:rFonts w:ascii="Calibri" w:eastAsia="Times New Roman" w:hAnsi="Calibri" w:cs="Times New Roman"/>
                <w:color w:val="000000"/>
                <w:sz w:val="20"/>
                <w:szCs w:val="20"/>
              </w:rPr>
            </w:pPr>
            <w:r w:rsidRPr="005006BF">
              <w:rPr>
                <w:rFonts w:ascii="Calibri" w:eastAsia="Times New Roman" w:hAnsi="Calibri" w:cs="Times New Roman"/>
                <w:color w:val="000000"/>
                <w:sz w:val="20"/>
                <w:szCs w:val="20"/>
              </w:rPr>
              <w:t> </w:t>
            </w:r>
          </w:p>
        </w:tc>
        <w:tc>
          <w:tcPr>
            <w:tcW w:w="686" w:type="dxa"/>
            <w:tcBorders>
              <w:top w:val="nil"/>
              <w:left w:val="nil"/>
              <w:bottom w:val="single" w:sz="4" w:space="0" w:color="auto"/>
              <w:right w:val="single" w:sz="4" w:space="0" w:color="auto"/>
            </w:tcBorders>
            <w:shd w:val="clear" w:color="auto" w:fill="auto"/>
            <w:noWrap/>
            <w:vAlign w:val="bottom"/>
            <w:hideMark/>
          </w:tcPr>
          <w:p w14:paraId="510984DA" w14:textId="77777777" w:rsidR="005006BF" w:rsidRPr="005006BF" w:rsidRDefault="005006BF" w:rsidP="005006BF">
            <w:pPr>
              <w:spacing w:after="0" w:line="240" w:lineRule="auto"/>
              <w:rPr>
                <w:rFonts w:ascii="Calibri" w:eastAsia="Times New Roman" w:hAnsi="Calibri" w:cs="Times New Roman"/>
                <w:color w:val="000000"/>
                <w:sz w:val="20"/>
                <w:szCs w:val="20"/>
              </w:rPr>
            </w:pPr>
            <w:r w:rsidRPr="005006BF">
              <w:rPr>
                <w:rFonts w:ascii="Calibri" w:eastAsia="Times New Roman" w:hAnsi="Calibri" w:cs="Times New Roman"/>
                <w:color w:val="000000"/>
                <w:sz w:val="20"/>
                <w:szCs w:val="20"/>
              </w:rPr>
              <w:t> </w:t>
            </w:r>
          </w:p>
        </w:tc>
      </w:tr>
      <w:tr w:rsidR="008B6ECA" w:rsidRPr="008B6ECA" w14:paraId="7D5DC2EC" w14:textId="77777777" w:rsidTr="008B6ECA">
        <w:trPr>
          <w:trHeight w:val="195"/>
        </w:trPr>
        <w:tc>
          <w:tcPr>
            <w:tcW w:w="1404" w:type="dxa"/>
            <w:tcBorders>
              <w:top w:val="nil"/>
              <w:left w:val="single" w:sz="4" w:space="0" w:color="auto"/>
              <w:bottom w:val="single" w:sz="4" w:space="0" w:color="auto"/>
              <w:right w:val="single" w:sz="4" w:space="0" w:color="auto"/>
            </w:tcBorders>
            <w:shd w:val="clear" w:color="auto" w:fill="auto"/>
            <w:noWrap/>
            <w:vAlign w:val="bottom"/>
            <w:hideMark/>
          </w:tcPr>
          <w:p w14:paraId="5EEEC3B1" w14:textId="77777777" w:rsidR="005006BF" w:rsidRPr="005006BF" w:rsidRDefault="005006BF" w:rsidP="005006BF">
            <w:pPr>
              <w:spacing w:after="0" w:line="240" w:lineRule="auto"/>
              <w:rPr>
                <w:rFonts w:ascii="Calibri" w:eastAsia="Times New Roman" w:hAnsi="Calibri" w:cs="Times New Roman"/>
                <w:b/>
                <w:bCs/>
                <w:color w:val="000000"/>
                <w:sz w:val="20"/>
                <w:szCs w:val="20"/>
              </w:rPr>
            </w:pPr>
            <w:r w:rsidRPr="005006BF">
              <w:rPr>
                <w:rFonts w:ascii="Calibri" w:eastAsia="Times New Roman" w:hAnsi="Calibri" w:cs="Times New Roman"/>
                <w:b/>
                <w:bCs/>
                <w:color w:val="000000"/>
                <w:sz w:val="20"/>
                <w:szCs w:val="20"/>
              </w:rPr>
              <w:t>Baseline Estimate</w:t>
            </w:r>
          </w:p>
        </w:tc>
        <w:tc>
          <w:tcPr>
            <w:tcW w:w="1396" w:type="dxa"/>
            <w:tcBorders>
              <w:top w:val="nil"/>
              <w:left w:val="nil"/>
              <w:bottom w:val="single" w:sz="4" w:space="0" w:color="auto"/>
              <w:right w:val="single" w:sz="4" w:space="0" w:color="auto"/>
            </w:tcBorders>
            <w:shd w:val="clear" w:color="auto" w:fill="auto"/>
            <w:noWrap/>
            <w:vAlign w:val="bottom"/>
            <w:hideMark/>
          </w:tcPr>
          <w:p w14:paraId="08D63B31" w14:textId="77777777" w:rsidR="005006BF" w:rsidRPr="005006BF" w:rsidRDefault="005006BF" w:rsidP="005006BF">
            <w:pPr>
              <w:spacing w:after="0" w:line="240" w:lineRule="auto"/>
              <w:jc w:val="right"/>
              <w:rPr>
                <w:rFonts w:ascii="Calibri" w:eastAsia="Times New Roman" w:hAnsi="Calibri" w:cs="Times New Roman"/>
                <w:color w:val="000000"/>
                <w:sz w:val="20"/>
                <w:szCs w:val="20"/>
              </w:rPr>
            </w:pPr>
            <w:r w:rsidRPr="005006BF">
              <w:rPr>
                <w:rFonts w:ascii="Calibri" w:eastAsia="Times New Roman" w:hAnsi="Calibri" w:cs="Times New Roman"/>
                <w:color w:val="000000"/>
                <w:sz w:val="20"/>
                <w:szCs w:val="20"/>
              </w:rPr>
              <w:t>2544</w:t>
            </w:r>
          </w:p>
        </w:tc>
        <w:tc>
          <w:tcPr>
            <w:tcW w:w="830" w:type="dxa"/>
            <w:tcBorders>
              <w:top w:val="nil"/>
              <w:left w:val="nil"/>
              <w:bottom w:val="single" w:sz="4" w:space="0" w:color="auto"/>
              <w:right w:val="single" w:sz="4" w:space="0" w:color="auto"/>
            </w:tcBorders>
            <w:shd w:val="clear" w:color="auto" w:fill="auto"/>
            <w:noWrap/>
            <w:vAlign w:val="bottom"/>
            <w:hideMark/>
          </w:tcPr>
          <w:p w14:paraId="1DA96AC5" w14:textId="77777777" w:rsidR="005006BF" w:rsidRPr="005006BF" w:rsidRDefault="005006BF" w:rsidP="005006BF">
            <w:pPr>
              <w:spacing w:after="0" w:line="240" w:lineRule="auto"/>
              <w:jc w:val="right"/>
              <w:rPr>
                <w:rFonts w:ascii="Calibri" w:eastAsia="Times New Roman" w:hAnsi="Calibri" w:cs="Times New Roman"/>
                <w:color w:val="000000"/>
                <w:sz w:val="20"/>
                <w:szCs w:val="20"/>
              </w:rPr>
            </w:pPr>
            <w:r w:rsidRPr="005006BF">
              <w:rPr>
                <w:rFonts w:ascii="Calibri" w:eastAsia="Times New Roman" w:hAnsi="Calibri" w:cs="Times New Roman"/>
                <w:color w:val="000000"/>
                <w:sz w:val="20"/>
                <w:szCs w:val="20"/>
              </w:rPr>
              <w:t>1272</w:t>
            </w:r>
          </w:p>
        </w:tc>
        <w:tc>
          <w:tcPr>
            <w:tcW w:w="885" w:type="dxa"/>
            <w:tcBorders>
              <w:top w:val="nil"/>
              <w:left w:val="nil"/>
              <w:bottom w:val="single" w:sz="4" w:space="0" w:color="auto"/>
              <w:right w:val="single" w:sz="4" w:space="0" w:color="auto"/>
            </w:tcBorders>
            <w:shd w:val="clear" w:color="auto" w:fill="auto"/>
            <w:noWrap/>
            <w:vAlign w:val="bottom"/>
            <w:hideMark/>
          </w:tcPr>
          <w:p w14:paraId="0771C23D" w14:textId="77777777" w:rsidR="005006BF" w:rsidRPr="005006BF" w:rsidRDefault="005006BF" w:rsidP="005006BF">
            <w:pPr>
              <w:spacing w:after="0" w:line="240" w:lineRule="auto"/>
              <w:jc w:val="right"/>
              <w:rPr>
                <w:rFonts w:ascii="Calibri" w:eastAsia="Times New Roman" w:hAnsi="Calibri" w:cs="Times New Roman"/>
                <w:color w:val="000000"/>
                <w:sz w:val="20"/>
                <w:szCs w:val="20"/>
              </w:rPr>
            </w:pPr>
            <w:r w:rsidRPr="005006BF">
              <w:rPr>
                <w:rFonts w:ascii="Calibri" w:eastAsia="Times New Roman" w:hAnsi="Calibri" w:cs="Times New Roman"/>
                <w:color w:val="000000"/>
                <w:sz w:val="20"/>
                <w:szCs w:val="20"/>
              </w:rPr>
              <w:t>763</w:t>
            </w:r>
          </w:p>
        </w:tc>
        <w:tc>
          <w:tcPr>
            <w:tcW w:w="1132" w:type="dxa"/>
            <w:tcBorders>
              <w:top w:val="nil"/>
              <w:left w:val="nil"/>
              <w:bottom w:val="single" w:sz="4" w:space="0" w:color="auto"/>
              <w:right w:val="single" w:sz="4" w:space="0" w:color="auto"/>
            </w:tcBorders>
            <w:shd w:val="clear" w:color="auto" w:fill="auto"/>
            <w:noWrap/>
            <w:vAlign w:val="bottom"/>
            <w:hideMark/>
          </w:tcPr>
          <w:p w14:paraId="32355A41" w14:textId="77777777" w:rsidR="005006BF" w:rsidRPr="005006BF" w:rsidRDefault="005006BF" w:rsidP="005006BF">
            <w:pPr>
              <w:spacing w:after="0" w:line="240" w:lineRule="auto"/>
              <w:jc w:val="right"/>
              <w:rPr>
                <w:rFonts w:ascii="Calibri" w:eastAsia="Times New Roman" w:hAnsi="Calibri" w:cs="Times New Roman"/>
                <w:color w:val="000000"/>
                <w:sz w:val="20"/>
                <w:szCs w:val="20"/>
              </w:rPr>
            </w:pPr>
            <w:r w:rsidRPr="005006BF">
              <w:rPr>
                <w:rFonts w:ascii="Calibri" w:eastAsia="Times New Roman" w:hAnsi="Calibri" w:cs="Times New Roman"/>
                <w:color w:val="000000"/>
                <w:sz w:val="20"/>
                <w:szCs w:val="20"/>
              </w:rPr>
              <w:t>496</w:t>
            </w:r>
          </w:p>
        </w:tc>
        <w:tc>
          <w:tcPr>
            <w:tcW w:w="1091" w:type="dxa"/>
            <w:tcBorders>
              <w:top w:val="nil"/>
              <w:left w:val="nil"/>
              <w:bottom w:val="single" w:sz="4" w:space="0" w:color="auto"/>
              <w:right w:val="single" w:sz="4" w:space="0" w:color="auto"/>
            </w:tcBorders>
            <w:shd w:val="clear" w:color="auto" w:fill="auto"/>
            <w:noWrap/>
            <w:vAlign w:val="bottom"/>
            <w:hideMark/>
          </w:tcPr>
          <w:p w14:paraId="43D43D04" w14:textId="77777777" w:rsidR="005006BF" w:rsidRPr="005006BF" w:rsidRDefault="005006BF" w:rsidP="005006BF">
            <w:pPr>
              <w:spacing w:after="0" w:line="240" w:lineRule="auto"/>
              <w:jc w:val="right"/>
              <w:rPr>
                <w:rFonts w:ascii="Calibri" w:eastAsia="Times New Roman" w:hAnsi="Calibri" w:cs="Times New Roman"/>
                <w:color w:val="000000"/>
                <w:sz w:val="20"/>
                <w:szCs w:val="20"/>
              </w:rPr>
            </w:pPr>
            <w:r w:rsidRPr="005006BF">
              <w:rPr>
                <w:rFonts w:ascii="Calibri" w:eastAsia="Times New Roman" w:hAnsi="Calibri" w:cs="Times New Roman"/>
                <w:color w:val="000000"/>
                <w:sz w:val="20"/>
                <w:szCs w:val="20"/>
              </w:rPr>
              <w:t>347</w:t>
            </w:r>
          </w:p>
        </w:tc>
        <w:tc>
          <w:tcPr>
            <w:tcW w:w="1091" w:type="dxa"/>
            <w:tcBorders>
              <w:top w:val="nil"/>
              <w:left w:val="nil"/>
              <w:bottom w:val="single" w:sz="4" w:space="0" w:color="auto"/>
              <w:right w:val="single" w:sz="4" w:space="0" w:color="auto"/>
            </w:tcBorders>
            <w:shd w:val="clear" w:color="auto" w:fill="auto"/>
            <w:noWrap/>
            <w:vAlign w:val="bottom"/>
            <w:hideMark/>
          </w:tcPr>
          <w:p w14:paraId="40358E48" w14:textId="77777777" w:rsidR="005006BF" w:rsidRPr="005006BF" w:rsidRDefault="005006BF" w:rsidP="005006BF">
            <w:pPr>
              <w:spacing w:after="0" w:line="240" w:lineRule="auto"/>
              <w:jc w:val="right"/>
              <w:rPr>
                <w:rFonts w:ascii="Calibri" w:eastAsia="Times New Roman" w:hAnsi="Calibri" w:cs="Times New Roman"/>
                <w:color w:val="000000"/>
                <w:sz w:val="20"/>
                <w:szCs w:val="20"/>
              </w:rPr>
            </w:pPr>
            <w:r w:rsidRPr="005006BF">
              <w:rPr>
                <w:rFonts w:ascii="Calibri" w:eastAsia="Times New Roman" w:hAnsi="Calibri" w:cs="Times New Roman"/>
                <w:color w:val="000000"/>
                <w:sz w:val="20"/>
                <w:szCs w:val="20"/>
              </w:rPr>
              <w:t>278</w:t>
            </w:r>
          </w:p>
        </w:tc>
        <w:tc>
          <w:tcPr>
            <w:tcW w:w="1077" w:type="dxa"/>
            <w:tcBorders>
              <w:top w:val="nil"/>
              <w:left w:val="nil"/>
              <w:bottom w:val="single" w:sz="4" w:space="0" w:color="auto"/>
              <w:right w:val="single" w:sz="4" w:space="0" w:color="auto"/>
            </w:tcBorders>
            <w:shd w:val="clear" w:color="auto" w:fill="auto"/>
            <w:noWrap/>
            <w:vAlign w:val="bottom"/>
            <w:hideMark/>
          </w:tcPr>
          <w:p w14:paraId="61A0331A" w14:textId="77777777" w:rsidR="005006BF" w:rsidRPr="005006BF" w:rsidRDefault="005006BF" w:rsidP="005006BF">
            <w:pPr>
              <w:spacing w:after="0" w:line="240" w:lineRule="auto"/>
              <w:jc w:val="right"/>
              <w:rPr>
                <w:rFonts w:ascii="Calibri" w:eastAsia="Times New Roman" w:hAnsi="Calibri" w:cs="Times New Roman"/>
                <w:color w:val="000000"/>
                <w:sz w:val="20"/>
                <w:szCs w:val="20"/>
              </w:rPr>
            </w:pPr>
            <w:r w:rsidRPr="005006BF">
              <w:rPr>
                <w:rFonts w:ascii="Calibri" w:eastAsia="Times New Roman" w:hAnsi="Calibri" w:cs="Times New Roman"/>
                <w:color w:val="000000"/>
                <w:sz w:val="20"/>
                <w:szCs w:val="20"/>
              </w:rPr>
              <w:t>167</w:t>
            </w:r>
          </w:p>
        </w:tc>
        <w:tc>
          <w:tcPr>
            <w:tcW w:w="1068" w:type="dxa"/>
            <w:tcBorders>
              <w:top w:val="nil"/>
              <w:left w:val="nil"/>
              <w:bottom w:val="single" w:sz="4" w:space="0" w:color="auto"/>
              <w:right w:val="single" w:sz="4" w:space="0" w:color="auto"/>
            </w:tcBorders>
            <w:shd w:val="clear" w:color="auto" w:fill="auto"/>
            <w:noWrap/>
            <w:vAlign w:val="bottom"/>
            <w:hideMark/>
          </w:tcPr>
          <w:p w14:paraId="59D54935" w14:textId="77777777" w:rsidR="005006BF" w:rsidRPr="005006BF" w:rsidRDefault="005006BF" w:rsidP="005006BF">
            <w:pPr>
              <w:spacing w:after="0" w:line="240" w:lineRule="auto"/>
              <w:jc w:val="right"/>
              <w:rPr>
                <w:rFonts w:ascii="Calibri" w:eastAsia="Times New Roman" w:hAnsi="Calibri" w:cs="Times New Roman"/>
                <w:color w:val="000000"/>
                <w:sz w:val="20"/>
                <w:szCs w:val="20"/>
              </w:rPr>
            </w:pPr>
            <w:r w:rsidRPr="005006BF">
              <w:rPr>
                <w:rFonts w:ascii="Calibri" w:eastAsia="Times New Roman" w:hAnsi="Calibri" w:cs="Times New Roman"/>
                <w:color w:val="000000"/>
                <w:sz w:val="20"/>
                <w:szCs w:val="20"/>
              </w:rPr>
              <w:t>133</w:t>
            </w:r>
          </w:p>
        </w:tc>
        <w:tc>
          <w:tcPr>
            <w:tcW w:w="686" w:type="dxa"/>
            <w:tcBorders>
              <w:top w:val="nil"/>
              <w:left w:val="nil"/>
              <w:bottom w:val="single" w:sz="4" w:space="0" w:color="auto"/>
              <w:right w:val="single" w:sz="4" w:space="0" w:color="auto"/>
            </w:tcBorders>
            <w:shd w:val="clear" w:color="auto" w:fill="auto"/>
            <w:noWrap/>
            <w:vAlign w:val="bottom"/>
            <w:hideMark/>
          </w:tcPr>
          <w:p w14:paraId="66664B25" w14:textId="77777777" w:rsidR="005006BF" w:rsidRPr="005006BF" w:rsidRDefault="005006BF" w:rsidP="005006BF">
            <w:pPr>
              <w:spacing w:after="0" w:line="240" w:lineRule="auto"/>
              <w:jc w:val="right"/>
              <w:rPr>
                <w:rFonts w:ascii="Calibri" w:eastAsia="Times New Roman" w:hAnsi="Calibri" w:cs="Times New Roman"/>
                <w:color w:val="000000"/>
                <w:sz w:val="20"/>
                <w:szCs w:val="20"/>
              </w:rPr>
            </w:pPr>
            <w:r w:rsidRPr="005006BF">
              <w:rPr>
                <w:rFonts w:ascii="Calibri" w:eastAsia="Times New Roman" w:hAnsi="Calibri" w:cs="Times New Roman"/>
                <w:color w:val="000000"/>
                <w:sz w:val="20"/>
                <w:szCs w:val="20"/>
              </w:rPr>
              <w:t>100</w:t>
            </w:r>
          </w:p>
        </w:tc>
      </w:tr>
      <w:tr w:rsidR="008B6ECA" w:rsidRPr="008B6ECA" w14:paraId="1DEE2127" w14:textId="77777777" w:rsidTr="008B6ECA">
        <w:trPr>
          <w:trHeight w:val="195"/>
        </w:trPr>
        <w:tc>
          <w:tcPr>
            <w:tcW w:w="1404" w:type="dxa"/>
            <w:tcBorders>
              <w:top w:val="nil"/>
              <w:left w:val="single" w:sz="4" w:space="0" w:color="auto"/>
              <w:bottom w:val="single" w:sz="4" w:space="0" w:color="auto"/>
              <w:right w:val="single" w:sz="4" w:space="0" w:color="auto"/>
            </w:tcBorders>
            <w:shd w:val="clear" w:color="auto" w:fill="auto"/>
            <w:noWrap/>
            <w:vAlign w:val="bottom"/>
            <w:hideMark/>
          </w:tcPr>
          <w:p w14:paraId="110BDAF0" w14:textId="77777777" w:rsidR="005006BF" w:rsidRPr="005006BF" w:rsidRDefault="005006BF" w:rsidP="005006BF">
            <w:pPr>
              <w:spacing w:after="0" w:line="240" w:lineRule="auto"/>
              <w:rPr>
                <w:rFonts w:ascii="Calibri" w:eastAsia="Times New Roman" w:hAnsi="Calibri" w:cs="Times New Roman"/>
                <w:b/>
                <w:bCs/>
                <w:color w:val="000000"/>
                <w:sz w:val="20"/>
                <w:szCs w:val="20"/>
              </w:rPr>
            </w:pPr>
            <w:r w:rsidRPr="005006BF">
              <w:rPr>
                <w:rFonts w:ascii="Calibri" w:eastAsia="Times New Roman" w:hAnsi="Calibri" w:cs="Times New Roman"/>
                <w:b/>
                <w:bCs/>
                <w:color w:val="000000"/>
                <w:sz w:val="20"/>
                <w:szCs w:val="20"/>
              </w:rPr>
              <w:t>Baseline Weekly</w:t>
            </w:r>
          </w:p>
        </w:tc>
        <w:tc>
          <w:tcPr>
            <w:tcW w:w="1396" w:type="dxa"/>
            <w:tcBorders>
              <w:top w:val="nil"/>
              <w:left w:val="nil"/>
              <w:bottom w:val="single" w:sz="4" w:space="0" w:color="auto"/>
              <w:right w:val="single" w:sz="4" w:space="0" w:color="auto"/>
            </w:tcBorders>
            <w:shd w:val="clear" w:color="auto" w:fill="auto"/>
            <w:noWrap/>
            <w:vAlign w:val="bottom"/>
            <w:hideMark/>
          </w:tcPr>
          <w:p w14:paraId="0EDADEC4" w14:textId="77777777" w:rsidR="005006BF" w:rsidRPr="005006BF" w:rsidRDefault="005006BF" w:rsidP="005006BF">
            <w:pPr>
              <w:spacing w:after="0" w:line="240" w:lineRule="auto"/>
              <w:jc w:val="right"/>
              <w:rPr>
                <w:rFonts w:ascii="Calibri" w:eastAsia="Times New Roman" w:hAnsi="Calibri" w:cs="Times New Roman"/>
                <w:color w:val="000000"/>
                <w:sz w:val="20"/>
                <w:szCs w:val="20"/>
              </w:rPr>
            </w:pPr>
            <w:r w:rsidRPr="005006BF">
              <w:rPr>
                <w:rFonts w:ascii="Calibri" w:eastAsia="Times New Roman" w:hAnsi="Calibri" w:cs="Times New Roman"/>
                <w:color w:val="000000"/>
                <w:sz w:val="20"/>
                <w:szCs w:val="20"/>
              </w:rPr>
              <w:t>64</w:t>
            </w:r>
          </w:p>
        </w:tc>
        <w:tc>
          <w:tcPr>
            <w:tcW w:w="830" w:type="dxa"/>
            <w:tcBorders>
              <w:top w:val="nil"/>
              <w:left w:val="nil"/>
              <w:bottom w:val="single" w:sz="4" w:space="0" w:color="auto"/>
              <w:right w:val="single" w:sz="4" w:space="0" w:color="auto"/>
            </w:tcBorders>
            <w:shd w:val="clear" w:color="auto" w:fill="auto"/>
            <w:noWrap/>
            <w:vAlign w:val="bottom"/>
            <w:hideMark/>
          </w:tcPr>
          <w:p w14:paraId="7DA0B3CE" w14:textId="77777777" w:rsidR="005006BF" w:rsidRPr="005006BF" w:rsidRDefault="005006BF" w:rsidP="005006BF">
            <w:pPr>
              <w:spacing w:after="0" w:line="240" w:lineRule="auto"/>
              <w:jc w:val="right"/>
              <w:rPr>
                <w:rFonts w:ascii="Calibri" w:eastAsia="Times New Roman" w:hAnsi="Calibri" w:cs="Times New Roman"/>
                <w:color w:val="000000"/>
                <w:sz w:val="20"/>
                <w:szCs w:val="20"/>
              </w:rPr>
            </w:pPr>
            <w:r w:rsidRPr="005006BF">
              <w:rPr>
                <w:rFonts w:ascii="Calibri" w:eastAsia="Times New Roman" w:hAnsi="Calibri" w:cs="Times New Roman"/>
                <w:color w:val="000000"/>
                <w:sz w:val="20"/>
                <w:szCs w:val="20"/>
              </w:rPr>
              <w:t>32</w:t>
            </w:r>
          </w:p>
        </w:tc>
        <w:tc>
          <w:tcPr>
            <w:tcW w:w="885" w:type="dxa"/>
            <w:tcBorders>
              <w:top w:val="nil"/>
              <w:left w:val="nil"/>
              <w:bottom w:val="single" w:sz="4" w:space="0" w:color="auto"/>
              <w:right w:val="single" w:sz="4" w:space="0" w:color="auto"/>
            </w:tcBorders>
            <w:shd w:val="clear" w:color="auto" w:fill="auto"/>
            <w:noWrap/>
            <w:vAlign w:val="bottom"/>
            <w:hideMark/>
          </w:tcPr>
          <w:p w14:paraId="191EE54B" w14:textId="77777777" w:rsidR="005006BF" w:rsidRPr="005006BF" w:rsidRDefault="005006BF" w:rsidP="005006BF">
            <w:pPr>
              <w:spacing w:after="0" w:line="240" w:lineRule="auto"/>
              <w:jc w:val="right"/>
              <w:rPr>
                <w:rFonts w:ascii="Calibri" w:eastAsia="Times New Roman" w:hAnsi="Calibri" w:cs="Times New Roman"/>
                <w:color w:val="000000"/>
                <w:sz w:val="20"/>
                <w:szCs w:val="20"/>
              </w:rPr>
            </w:pPr>
            <w:r w:rsidRPr="005006BF">
              <w:rPr>
                <w:rFonts w:ascii="Calibri" w:eastAsia="Times New Roman" w:hAnsi="Calibri" w:cs="Times New Roman"/>
                <w:color w:val="000000"/>
                <w:sz w:val="20"/>
                <w:szCs w:val="20"/>
              </w:rPr>
              <w:t>19</w:t>
            </w:r>
          </w:p>
        </w:tc>
        <w:tc>
          <w:tcPr>
            <w:tcW w:w="1132" w:type="dxa"/>
            <w:tcBorders>
              <w:top w:val="nil"/>
              <w:left w:val="nil"/>
              <w:bottom w:val="single" w:sz="4" w:space="0" w:color="auto"/>
              <w:right w:val="single" w:sz="4" w:space="0" w:color="auto"/>
            </w:tcBorders>
            <w:shd w:val="clear" w:color="auto" w:fill="auto"/>
            <w:noWrap/>
            <w:vAlign w:val="bottom"/>
            <w:hideMark/>
          </w:tcPr>
          <w:p w14:paraId="514F20AC" w14:textId="77777777" w:rsidR="005006BF" w:rsidRPr="005006BF" w:rsidRDefault="005006BF" w:rsidP="005006BF">
            <w:pPr>
              <w:spacing w:after="0" w:line="240" w:lineRule="auto"/>
              <w:jc w:val="right"/>
              <w:rPr>
                <w:rFonts w:ascii="Calibri" w:eastAsia="Times New Roman" w:hAnsi="Calibri" w:cs="Times New Roman"/>
                <w:color w:val="000000"/>
                <w:sz w:val="20"/>
                <w:szCs w:val="20"/>
              </w:rPr>
            </w:pPr>
            <w:r w:rsidRPr="005006BF">
              <w:rPr>
                <w:rFonts w:ascii="Calibri" w:eastAsia="Times New Roman" w:hAnsi="Calibri" w:cs="Times New Roman"/>
                <w:color w:val="000000"/>
                <w:sz w:val="20"/>
                <w:szCs w:val="20"/>
              </w:rPr>
              <w:t>12</w:t>
            </w:r>
          </w:p>
        </w:tc>
        <w:tc>
          <w:tcPr>
            <w:tcW w:w="1091" w:type="dxa"/>
            <w:tcBorders>
              <w:top w:val="nil"/>
              <w:left w:val="nil"/>
              <w:bottom w:val="single" w:sz="4" w:space="0" w:color="auto"/>
              <w:right w:val="single" w:sz="4" w:space="0" w:color="auto"/>
            </w:tcBorders>
            <w:shd w:val="clear" w:color="auto" w:fill="auto"/>
            <w:noWrap/>
            <w:vAlign w:val="bottom"/>
            <w:hideMark/>
          </w:tcPr>
          <w:p w14:paraId="63A549B0" w14:textId="77777777" w:rsidR="005006BF" w:rsidRPr="005006BF" w:rsidRDefault="005006BF" w:rsidP="005006BF">
            <w:pPr>
              <w:spacing w:after="0" w:line="240" w:lineRule="auto"/>
              <w:jc w:val="right"/>
              <w:rPr>
                <w:rFonts w:ascii="Calibri" w:eastAsia="Times New Roman" w:hAnsi="Calibri" w:cs="Times New Roman"/>
                <w:color w:val="000000"/>
                <w:sz w:val="20"/>
                <w:szCs w:val="20"/>
              </w:rPr>
            </w:pPr>
            <w:r w:rsidRPr="005006BF">
              <w:rPr>
                <w:rFonts w:ascii="Calibri" w:eastAsia="Times New Roman" w:hAnsi="Calibri" w:cs="Times New Roman"/>
                <w:color w:val="000000"/>
                <w:sz w:val="20"/>
                <w:szCs w:val="20"/>
              </w:rPr>
              <w:t>9</w:t>
            </w:r>
          </w:p>
        </w:tc>
        <w:tc>
          <w:tcPr>
            <w:tcW w:w="1091" w:type="dxa"/>
            <w:tcBorders>
              <w:top w:val="nil"/>
              <w:left w:val="nil"/>
              <w:bottom w:val="single" w:sz="4" w:space="0" w:color="auto"/>
              <w:right w:val="single" w:sz="4" w:space="0" w:color="auto"/>
            </w:tcBorders>
            <w:shd w:val="clear" w:color="auto" w:fill="auto"/>
            <w:noWrap/>
            <w:vAlign w:val="bottom"/>
            <w:hideMark/>
          </w:tcPr>
          <w:p w14:paraId="5708D1A8" w14:textId="77777777" w:rsidR="005006BF" w:rsidRPr="005006BF" w:rsidRDefault="005006BF" w:rsidP="005006BF">
            <w:pPr>
              <w:spacing w:after="0" w:line="240" w:lineRule="auto"/>
              <w:jc w:val="right"/>
              <w:rPr>
                <w:rFonts w:ascii="Calibri" w:eastAsia="Times New Roman" w:hAnsi="Calibri" w:cs="Times New Roman"/>
                <w:color w:val="000000"/>
                <w:sz w:val="20"/>
                <w:szCs w:val="20"/>
              </w:rPr>
            </w:pPr>
            <w:r w:rsidRPr="005006BF">
              <w:rPr>
                <w:rFonts w:ascii="Calibri" w:eastAsia="Times New Roman" w:hAnsi="Calibri" w:cs="Times New Roman"/>
                <w:color w:val="000000"/>
                <w:sz w:val="20"/>
                <w:szCs w:val="20"/>
              </w:rPr>
              <w:t>7</w:t>
            </w:r>
          </w:p>
        </w:tc>
        <w:tc>
          <w:tcPr>
            <w:tcW w:w="1077" w:type="dxa"/>
            <w:tcBorders>
              <w:top w:val="nil"/>
              <w:left w:val="nil"/>
              <w:bottom w:val="single" w:sz="4" w:space="0" w:color="auto"/>
              <w:right w:val="single" w:sz="4" w:space="0" w:color="auto"/>
            </w:tcBorders>
            <w:shd w:val="clear" w:color="auto" w:fill="auto"/>
            <w:noWrap/>
            <w:vAlign w:val="bottom"/>
            <w:hideMark/>
          </w:tcPr>
          <w:p w14:paraId="08600961" w14:textId="77777777" w:rsidR="005006BF" w:rsidRPr="005006BF" w:rsidRDefault="005006BF" w:rsidP="005006BF">
            <w:pPr>
              <w:spacing w:after="0" w:line="240" w:lineRule="auto"/>
              <w:jc w:val="right"/>
              <w:rPr>
                <w:rFonts w:ascii="Calibri" w:eastAsia="Times New Roman" w:hAnsi="Calibri" w:cs="Times New Roman"/>
                <w:color w:val="000000"/>
                <w:sz w:val="20"/>
                <w:szCs w:val="20"/>
              </w:rPr>
            </w:pPr>
            <w:r w:rsidRPr="005006BF">
              <w:rPr>
                <w:rFonts w:ascii="Calibri" w:eastAsia="Times New Roman" w:hAnsi="Calibri" w:cs="Times New Roman"/>
                <w:color w:val="000000"/>
                <w:sz w:val="20"/>
                <w:szCs w:val="20"/>
              </w:rPr>
              <w:t>4</w:t>
            </w:r>
          </w:p>
        </w:tc>
        <w:tc>
          <w:tcPr>
            <w:tcW w:w="1068" w:type="dxa"/>
            <w:tcBorders>
              <w:top w:val="nil"/>
              <w:left w:val="nil"/>
              <w:bottom w:val="single" w:sz="4" w:space="0" w:color="auto"/>
              <w:right w:val="single" w:sz="4" w:space="0" w:color="auto"/>
            </w:tcBorders>
            <w:shd w:val="clear" w:color="auto" w:fill="auto"/>
            <w:noWrap/>
            <w:vAlign w:val="bottom"/>
            <w:hideMark/>
          </w:tcPr>
          <w:p w14:paraId="67547E91" w14:textId="77777777" w:rsidR="005006BF" w:rsidRPr="005006BF" w:rsidRDefault="005006BF" w:rsidP="005006BF">
            <w:pPr>
              <w:spacing w:after="0" w:line="240" w:lineRule="auto"/>
              <w:jc w:val="right"/>
              <w:rPr>
                <w:rFonts w:ascii="Calibri" w:eastAsia="Times New Roman" w:hAnsi="Calibri" w:cs="Times New Roman"/>
                <w:color w:val="000000"/>
                <w:sz w:val="20"/>
                <w:szCs w:val="20"/>
              </w:rPr>
            </w:pPr>
            <w:r w:rsidRPr="005006BF">
              <w:rPr>
                <w:rFonts w:ascii="Calibri" w:eastAsia="Times New Roman" w:hAnsi="Calibri" w:cs="Times New Roman"/>
                <w:color w:val="000000"/>
                <w:sz w:val="20"/>
                <w:szCs w:val="20"/>
              </w:rPr>
              <w:t>3</w:t>
            </w:r>
          </w:p>
        </w:tc>
        <w:tc>
          <w:tcPr>
            <w:tcW w:w="686" w:type="dxa"/>
            <w:tcBorders>
              <w:top w:val="nil"/>
              <w:left w:val="nil"/>
              <w:bottom w:val="single" w:sz="4" w:space="0" w:color="auto"/>
              <w:right w:val="single" w:sz="4" w:space="0" w:color="auto"/>
            </w:tcBorders>
            <w:shd w:val="clear" w:color="auto" w:fill="auto"/>
            <w:noWrap/>
            <w:vAlign w:val="bottom"/>
            <w:hideMark/>
          </w:tcPr>
          <w:p w14:paraId="2F886096" w14:textId="77777777" w:rsidR="005006BF" w:rsidRPr="005006BF" w:rsidRDefault="005006BF" w:rsidP="005006BF">
            <w:pPr>
              <w:spacing w:after="0" w:line="240" w:lineRule="auto"/>
              <w:jc w:val="right"/>
              <w:rPr>
                <w:rFonts w:ascii="Calibri" w:eastAsia="Times New Roman" w:hAnsi="Calibri" w:cs="Times New Roman"/>
                <w:color w:val="000000"/>
                <w:sz w:val="20"/>
                <w:szCs w:val="20"/>
              </w:rPr>
            </w:pPr>
            <w:r w:rsidRPr="005006BF">
              <w:rPr>
                <w:rFonts w:ascii="Calibri" w:eastAsia="Times New Roman" w:hAnsi="Calibri" w:cs="Times New Roman"/>
                <w:color w:val="000000"/>
                <w:sz w:val="20"/>
                <w:szCs w:val="20"/>
              </w:rPr>
              <w:t>3</w:t>
            </w:r>
          </w:p>
        </w:tc>
      </w:tr>
      <w:tr w:rsidR="008B6ECA" w:rsidRPr="008B6ECA" w14:paraId="187337A3" w14:textId="77777777" w:rsidTr="008B6ECA">
        <w:trPr>
          <w:trHeight w:val="195"/>
        </w:trPr>
        <w:tc>
          <w:tcPr>
            <w:tcW w:w="1404" w:type="dxa"/>
            <w:tcBorders>
              <w:top w:val="nil"/>
              <w:left w:val="single" w:sz="4" w:space="0" w:color="auto"/>
              <w:bottom w:val="single" w:sz="4" w:space="0" w:color="auto"/>
              <w:right w:val="single" w:sz="4" w:space="0" w:color="auto"/>
            </w:tcBorders>
            <w:shd w:val="clear" w:color="auto" w:fill="auto"/>
            <w:noWrap/>
            <w:vAlign w:val="bottom"/>
            <w:hideMark/>
          </w:tcPr>
          <w:p w14:paraId="537A93A8" w14:textId="77777777" w:rsidR="005006BF" w:rsidRPr="005006BF" w:rsidRDefault="005006BF" w:rsidP="005006BF">
            <w:pPr>
              <w:spacing w:after="0" w:line="240" w:lineRule="auto"/>
              <w:rPr>
                <w:rFonts w:ascii="Calibri" w:eastAsia="Times New Roman" w:hAnsi="Calibri" w:cs="Times New Roman"/>
                <w:b/>
                <w:bCs/>
                <w:color w:val="000000"/>
                <w:sz w:val="20"/>
                <w:szCs w:val="20"/>
              </w:rPr>
            </w:pPr>
            <w:r w:rsidRPr="005006BF">
              <w:rPr>
                <w:rFonts w:ascii="Calibri" w:eastAsia="Times New Roman" w:hAnsi="Calibri" w:cs="Times New Roman"/>
                <w:b/>
                <w:bCs/>
                <w:color w:val="000000"/>
                <w:sz w:val="20"/>
                <w:szCs w:val="20"/>
              </w:rPr>
              <w:t> </w:t>
            </w:r>
          </w:p>
        </w:tc>
        <w:tc>
          <w:tcPr>
            <w:tcW w:w="1396" w:type="dxa"/>
            <w:tcBorders>
              <w:top w:val="nil"/>
              <w:left w:val="nil"/>
              <w:bottom w:val="single" w:sz="4" w:space="0" w:color="auto"/>
              <w:right w:val="single" w:sz="4" w:space="0" w:color="auto"/>
            </w:tcBorders>
            <w:shd w:val="clear" w:color="auto" w:fill="auto"/>
            <w:noWrap/>
            <w:vAlign w:val="bottom"/>
            <w:hideMark/>
          </w:tcPr>
          <w:p w14:paraId="207F809B" w14:textId="77777777" w:rsidR="005006BF" w:rsidRPr="005006BF" w:rsidRDefault="005006BF" w:rsidP="005006BF">
            <w:pPr>
              <w:spacing w:after="0" w:line="240" w:lineRule="auto"/>
              <w:rPr>
                <w:rFonts w:ascii="Calibri" w:eastAsia="Times New Roman" w:hAnsi="Calibri" w:cs="Times New Roman"/>
                <w:color w:val="000000"/>
                <w:sz w:val="20"/>
                <w:szCs w:val="20"/>
              </w:rPr>
            </w:pPr>
            <w:r w:rsidRPr="005006BF">
              <w:rPr>
                <w:rFonts w:ascii="Calibri" w:eastAsia="Times New Roman" w:hAnsi="Calibri" w:cs="Times New Roman"/>
                <w:color w:val="000000"/>
                <w:sz w:val="20"/>
                <w:szCs w:val="20"/>
              </w:rPr>
              <w:t> </w:t>
            </w:r>
          </w:p>
        </w:tc>
        <w:tc>
          <w:tcPr>
            <w:tcW w:w="830" w:type="dxa"/>
            <w:tcBorders>
              <w:top w:val="nil"/>
              <w:left w:val="nil"/>
              <w:bottom w:val="single" w:sz="4" w:space="0" w:color="auto"/>
              <w:right w:val="single" w:sz="4" w:space="0" w:color="auto"/>
            </w:tcBorders>
            <w:shd w:val="clear" w:color="auto" w:fill="auto"/>
            <w:noWrap/>
            <w:vAlign w:val="bottom"/>
            <w:hideMark/>
          </w:tcPr>
          <w:p w14:paraId="5675755A" w14:textId="77777777" w:rsidR="005006BF" w:rsidRPr="005006BF" w:rsidRDefault="005006BF" w:rsidP="005006BF">
            <w:pPr>
              <w:spacing w:after="0" w:line="240" w:lineRule="auto"/>
              <w:rPr>
                <w:rFonts w:ascii="Calibri" w:eastAsia="Times New Roman" w:hAnsi="Calibri" w:cs="Times New Roman"/>
                <w:color w:val="000000"/>
                <w:sz w:val="20"/>
                <w:szCs w:val="20"/>
              </w:rPr>
            </w:pPr>
            <w:r w:rsidRPr="005006BF">
              <w:rPr>
                <w:rFonts w:ascii="Calibri" w:eastAsia="Times New Roman" w:hAnsi="Calibri" w:cs="Times New Roman"/>
                <w:color w:val="000000"/>
                <w:sz w:val="20"/>
                <w:szCs w:val="20"/>
              </w:rPr>
              <w:t> </w:t>
            </w:r>
          </w:p>
        </w:tc>
        <w:tc>
          <w:tcPr>
            <w:tcW w:w="885" w:type="dxa"/>
            <w:tcBorders>
              <w:top w:val="nil"/>
              <w:left w:val="nil"/>
              <w:bottom w:val="single" w:sz="4" w:space="0" w:color="auto"/>
              <w:right w:val="single" w:sz="4" w:space="0" w:color="auto"/>
            </w:tcBorders>
            <w:shd w:val="clear" w:color="auto" w:fill="auto"/>
            <w:noWrap/>
            <w:vAlign w:val="bottom"/>
            <w:hideMark/>
          </w:tcPr>
          <w:p w14:paraId="7323DCA0" w14:textId="77777777" w:rsidR="005006BF" w:rsidRPr="005006BF" w:rsidRDefault="005006BF" w:rsidP="005006BF">
            <w:pPr>
              <w:spacing w:after="0" w:line="240" w:lineRule="auto"/>
              <w:rPr>
                <w:rFonts w:ascii="Calibri" w:eastAsia="Times New Roman" w:hAnsi="Calibri" w:cs="Times New Roman"/>
                <w:color w:val="000000"/>
                <w:sz w:val="20"/>
                <w:szCs w:val="20"/>
              </w:rPr>
            </w:pPr>
            <w:r w:rsidRPr="005006BF">
              <w:rPr>
                <w:rFonts w:ascii="Calibri" w:eastAsia="Times New Roman" w:hAnsi="Calibri" w:cs="Times New Roman"/>
                <w:color w:val="000000"/>
                <w:sz w:val="20"/>
                <w:szCs w:val="20"/>
              </w:rPr>
              <w:t> </w:t>
            </w:r>
          </w:p>
        </w:tc>
        <w:tc>
          <w:tcPr>
            <w:tcW w:w="1132" w:type="dxa"/>
            <w:tcBorders>
              <w:top w:val="nil"/>
              <w:left w:val="nil"/>
              <w:bottom w:val="single" w:sz="4" w:space="0" w:color="auto"/>
              <w:right w:val="single" w:sz="4" w:space="0" w:color="auto"/>
            </w:tcBorders>
            <w:shd w:val="clear" w:color="auto" w:fill="auto"/>
            <w:noWrap/>
            <w:vAlign w:val="bottom"/>
            <w:hideMark/>
          </w:tcPr>
          <w:p w14:paraId="41D3EBA6" w14:textId="77777777" w:rsidR="005006BF" w:rsidRPr="005006BF" w:rsidRDefault="005006BF" w:rsidP="005006BF">
            <w:pPr>
              <w:spacing w:after="0" w:line="240" w:lineRule="auto"/>
              <w:rPr>
                <w:rFonts w:ascii="Calibri" w:eastAsia="Times New Roman" w:hAnsi="Calibri" w:cs="Times New Roman"/>
                <w:color w:val="000000"/>
                <w:sz w:val="20"/>
                <w:szCs w:val="20"/>
              </w:rPr>
            </w:pPr>
            <w:r w:rsidRPr="005006BF">
              <w:rPr>
                <w:rFonts w:ascii="Calibri" w:eastAsia="Times New Roman" w:hAnsi="Calibri" w:cs="Times New Roman"/>
                <w:color w:val="000000"/>
                <w:sz w:val="20"/>
                <w:szCs w:val="20"/>
              </w:rPr>
              <w:t> </w:t>
            </w:r>
          </w:p>
        </w:tc>
        <w:tc>
          <w:tcPr>
            <w:tcW w:w="1091" w:type="dxa"/>
            <w:tcBorders>
              <w:top w:val="nil"/>
              <w:left w:val="nil"/>
              <w:bottom w:val="single" w:sz="4" w:space="0" w:color="auto"/>
              <w:right w:val="single" w:sz="4" w:space="0" w:color="auto"/>
            </w:tcBorders>
            <w:shd w:val="clear" w:color="auto" w:fill="auto"/>
            <w:noWrap/>
            <w:vAlign w:val="bottom"/>
            <w:hideMark/>
          </w:tcPr>
          <w:p w14:paraId="7A040D27" w14:textId="77777777" w:rsidR="005006BF" w:rsidRPr="005006BF" w:rsidRDefault="005006BF" w:rsidP="005006BF">
            <w:pPr>
              <w:spacing w:after="0" w:line="240" w:lineRule="auto"/>
              <w:rPr>
                <w:rFonts w:ascii="Calibri" w:eastAsia="Times New Roman" w:hAnsi="Calibri" w:cs="Times New Roman"/>
                <w:color w:val="000000"/>
                <w:sz w:val="20"/>
                <w:szCs w:val="20"/>
              </w:rPr>
            </w:pPr>
            <w:r w:rsidRPr="005006BF">
              <w:rPr>
                <w:rFonts w:ascii="Calibri" w:eastAsia="Times New Roman" w:hAnsi="Calibri" w:cs="Times New Roman"/>
                <w:color w:val="000000"/>
                <w:sz w:val="20"/>
                <w:szCs w:val="20"/>
              </w:rPr>
              <w:t> </w:t>
            </w:r>
          </w:p>
        </w:tc>
        <w:tc>
          <w:tcPr>
            <w:tcW w:w="1091" w:type="dxa"/>
            <w:tcBorders>
              <w:top w:val="nil"/>
              <w:left w:val="nil"/>
              <w:bottom w:val="single" w:sz="4" w:space="0" w:color="auto"/>
              <w:right w:val="single" w:sz="4" w:space="0" w:color="auto"/>
            </w:tcBorders>
            <w:shd w:val="clear" w:color="auto" w:fill="auto"/>
            <w:noWrap/>
            <w:vAlign w:val="bottom"/>
            <w:hideMark/>
          </w:tcPr>
          <w:p w14:paraId="087986CF" w14:textId="77777777" w:rsidR="005006BF" w:rsidRPr="005006BF" w:rsidRDefault="005006BF" w:rsidP="005006BF">
            <w:pPr>
              <w:spacing w:after="0" w:line="240" w:lineRule="auto"/>
              <w:rPr>
                <w:rFonts w:ascii="Calibri" w:eastAsia="Times New Roman" w:hAnsi="Calibri" w:cs="Times New Roman"/>
                <w:color w:val="000000"/>
                <w:sz w:val="20"/>
                <w:szCs w:val="20"/>
              </w:rPr>
            </w:pPr>
            <w:r w:rsidRPr="005006BF">
              <w:rPr>
                <w:rFonts w:ascii="Calibri" w:eastAsia="Times New Roman" w:hAnsi="Calibri" w:cs="Times New Roman"/>
                <w:color w:val="000000"/>
                <w:sz w:val="20"/>
                <w:szCs w:val="20"/>
              </w:rPr>
              <w:t> </w:t>
            </w:r>
          </w:p>
        </w:tc>
        <w:tc>
          <w:tcPr>
            <w:tcW w:w="1077" w:type="dxa"/>
            <w:tcBorders>
              <w:top w:val="nil"/>
              <w:left w:val="nil"/>
              <w:bottom w:val="single" w:sz="4" w:space="0" w:color="auto"/>
              <w:right w:val="single" w:sz="4" w:space="0" w:color="auto"/>
            </w:tcBorders>
            <w:shd w:val="clear" w:color="auto" w:fill="auto"/>
            <w:noWrap/>
            <w:vAlign w:val="bottom"/>
            <w:hideMark/>
          </w:tcPr>
          <w:p w14:paraId="39356D92" w14:textId="77777777" w:rsidR="005006BF" w:rsidRPr="005006BF" w:rsidRDefault="005006BF" w:rsidP="005006BF">
            <w:pPr>
              <w:spacing w:after="0" w:line="240" w:lineRule="auto"/>
              <w:rPr>
                <w:rFonts w:ascii="Calibri" w:eastAsia="Times New Roman" w:hAnsi="Calibri" w:cs="Times New Roman"/>
                <w:color w:val="000000"/>
                <w:sz w:val="20"/>
                <w:szCs w:val="20"/>
              </w:rPr>
            </w:pPr>
            <w:r w:rsidRPr="005006BF">
              <w:rPr>
                <w:rFonts w:ascii="Calibri" w:eastAsia="Times New Roman" w:hAnsi="Calibri" w:cs="Times New Roman"/>
                <w:color w:val="000000"/>
                <w:sz w:val="20"/>
                <w:szCs w:val="20"/>
              </w:rPr>
              <w:t> </w:t>
            </w:r>
          </w:p>
        </w:tc>
        <w:tc>
          <w:tcPr>
            <w:tcW w:w="1068" w:type="dxa"/>
            <w:tcBorders>
              <w:top w:val="nil"/>
              <w:left w:val="nil"/>
              <w:bottom w:val="single" w:sz="4" w:space="0" w:color="auto"/>
              <w:right w:val="single" w:sz="4" w:space="0" w:color="auto"/>
            </w:tcBorders>
            <w:shd w:val="clear" w:color="auto" w:fill="auto"/>
            <w:noWrap/>
            <w:vAlign w:val="bottom"/>
            <w:hideMark/>
          </w:tcPr>
          <w:p w14:paraId="51B9409F" w14:textId="77777777" w:rsidR="005006BF" w:rsidRPr="005006BF" w:rsidRDefault="005006BF" w:rsidP="005006BF">
            <w:pPr>
              <w:spacing w:after="0" w:line="240" w:lineRule="auto"/>
              <w:rPr>
                <w:rFonts w:ascii="Calibri" w:eastAsia="Times New Roman" w:hAnsi="Calibri" w:cs="Times New Roman"/>
                <w:color w:val="000000"/>
                <w:sz w:val="20"/>
                <w:szCs w:val="20"/>
              </w:rPr>
            </w:pPr>
            <w:r w:rsidRPr="005006BF">
              <w:rPr>
                <w:rFonts w:ascii="Calibri" w:eastAsia="Times New Roman" w:hAnsi="Calibri" w:cs="Times New Roman"/>
                <w:color w:val="000000"/>
                <w:sz w:val="20"/>
                <w:szCs w:val="20"/>
              </w:rPr>
              <w:t> </w:t>
            </w:r>
          </w:p>
        </w:tc>
        <w:tc>
          <w:tcPr>
            <w:tcW w:w="686" w:type="dxa"/>
            <w:tcBorders>
              <w:top w:val="nil"/>
              <w:left w:val="nil"/>
              <w:bottom w:val="single" w:sz="4" w:space="0" w:color="auto"/>
              <w:right w:val="single" w:sz="4" w:space="0" w:color="auto"/>
            </w:tcBorders>
            <w:shd w:val="clear" w:color="auto" w:fill="auto"/>
            <w:noWrap/>
            <w:vAlign w:val="bottom"/>
            <w:hideMark/>
          </w:tcPr>
          <w:p w14:paraId="4AF0F1A6" w14:textId="77777777" w:rsidR="005006BF" w:rsidRPr="005006BF" w:rsidRDefault="005006BF" w:rsidP="005006BF">
            <w:pPr>
              <w:spacing w:after="0" w:line="240" w:lineRule="auto"/>
              <w:rPr>
                <w:rFonts w:ascii="Calibri" w:eastAsia="Times New Roman" w:hAnsi="Calibri" w:cs="Times New Roman"/>
                <w:color w:val="000000"/>
                <w:sz w:val="20"/>
                <w:szCs w:val="20"/>
              </w:rPr>
            </w:pPr>
            <w:r w:rsidRPr="005006BF">
              <w:rPr>
                <w:rFonts w:ascii="Calibri" w:eastAsia="Times New Roman" w:hAnsi="Calibri" w:cs="Times New Roman"/>
                <w:color w:val="000000"/>
                <w:sz w:val="20"/>
                <w:szCs w:val="20"/>
              </w:rPr>
              <w:t> </w:t>
            </w:r>
          </w:p>
        </w:tc>
      </w:tr>
      <w:tr w:rsidR="008B6ECA" w:rsidRPr="008B6ECA" w14:paraId="008B0A07" w14:textId="77777777" w:rsidTr="008B6ECA">
        <w:trPr>
          <w:trHeight w:val="195"/>
        </w:trPr>
        <w:tc>
          <w:tcPr>
            <w:tcW w:w="1404" w:type="dxa"/>
            <w:tcBorders>
              <w:top w:val="nil"/>
              <w:left w:val="single" w:sz="4" w:space="0" w:color="auto"/>
              <w:bottom w:val="single" w:sz="4" w:space="0" w:color="auto"/>
              <w:right w:val="single" w:sz="4" w:space="0" w:color="auto"/>
            </w:tcBorders>
            <w:shd w:val="clear" w:color="auto" w:fill="auto"/>
            <w:noWrap/>
            <w:vAlign w:val="bottom"/>
            <w:hideMark/>
          </w:tcPr>
          <w:p w14:paraId="172A22E3" w14:textId="77777777" w:rsidR="005006BF" w:rsidRPr="005006BF" w:rsidRDefault="005006BF" w:rsidP="005006BF">
            <w:pPr>
              <w:spacing w:after="0" w:line="240" w:lineRule="auto"/>
              <w:rPr>
                <w:rFonts w:ascii="Calibri" w:eastAsia="Times New Roman" w:hAnsi="Calibri" w:cs="Times New Roman"/>
                <w:b/>
                <w:bCs/>
                <w:color w:val="000000"/>
                <w:sz w:val="20"/>
                <w:szCs w:val="20"/>
              </w:rPr>
            </w:pPr>
            <w:r w:rsidRPr="005006BF">
              <w:rPr>
                <w:rFonts w:ascii="Calibri" w:eastAsia="Times New Roman" w:hAnsi="Calibri" w:cs="Times New Roman"/>
                <w:b/>
                <w:bCs/>
                <w:color w:val="000000"/>
                <w:sz w:val="20"/>
                <w:szCs w:val="20"/>
              </w:rPr>
              <w:t>Aggressive Estimate</w:t>
            </w:r>
          </w:p>
        </w:tc>
        <w:tc>
          <w:tcPr>
            <w:tcW w:w="1396" w:type="dxa"/>
            <w:tcBorders>
              <w:top w:val="nil"/>
              <w:left w:val="nil"/>
              <w:bottom w:val="single" w:sz="4" w:space="0" w:color="auto"/>
              <w:right w:val="single" w:sz="4" w:space="0" w:color="auto"/>
            </w:tcBorders>
            <w:shd w:val="clear" w:color="auto" w:fill="auto"/>
            <w:noWrap/>
            <w:vAlign w:val="bottom"/>
            <w:hideMark/>
          </w:tcPr>
          <w:p w14:paraId="46891A8F" w14:textId="77777777" w:rsidR="005006BF" w:rsidRPr="005006BF" w:rsidRDefault="005006BF" w:rsidP="005006BF">
            <w:pPr>
              <w:spacing w:after="0" w:line="240" w:lineRule="auto"/>
              <w:jc w:val="right"/>
              <w:rPr>
                <w:rFonts w:ascii="Calibri" w:eastAsia="Times New Roman" w:hAnsi="Calibri" w:cs="Times New Roman"/>
                <w:color w:val="000000"/>
                <w:sz w:val="20"/>
                <w:szCs w:val="20"/>
              </w:rPr>
            </w:pPr>
            <w:r w:rsidRPr="005006BF">
              <w:rPr>
                <w:rFonts w:ascii="Calibri" w:eastAsia="Times New Roman" w:hAnsi="Calibri" w:cs="Times New Roman"/>
                <w:color w:val="000000"/>
                <w:sz w:val="20"/>
                <w:szCs w:val="20"/>
              </w:rPr>
              <w:t>948</w:t>
            </w:r>
          </w:p>
        </w:tc>
        <w:tc>
          <w:tcPr>
            <w:tcW w:w="830" w:type="dxa"/>
            <w:tcBorders>
              <w:top w:val="nil"/>
              <w:left w:val="nil"/>
              <w:bottom w:val="single" w:sz="4" w:space="0" w:color="auto"/>
              <w:right w:val="single" w:sz="4" w:space="0" w:color="auto"/>
            </w:tcBorders>
            <w:shd w:val="clear" w:color="auto" w:fill="auto"/>
            <w:noWrap/>
            <w:vAlign w:val="bottom"/>
            <w:hideMark/>
          </w:tcPr>
          <w:p w14:paraId="14CCAD5A" w14:textId="77777777" w:rsidR="005006BF" w:rsidRPr="005006BF" w:rsidRDefault="005006BF" w:rsidP="005006BF">
            <w:pPr>
              <w:spacing w:after="0" w:line="240" w:lineRule="auto"/>
              <w:jc w:val="right"/>
              <w:rPr>
                <w:rFonts w:ascii="Calibri" w:eastAsia="Times New Roman" w:hAnsi="Calibri" w:cs="Times New Roman"/>
                <w:color w:val="000000"/>
                <w:sz w:val="20"/>
                <w:szCs w:val="20"/>
              </w:rPr>
            </w:pPr>
            <w:r w:rsidRPr="005006BF">
              <w:rPr>
                <w:rFonts w:ascii="Calibri" w:eastAsia="Times New Roman" w:hAnsi="Calibri" w:cs="Times New Roman"/>
                <w:color w:val="000000"/>
                <w:sz w:val="20"/>
                <w:szCs w:val="20"/>
              </w:rPr>
              <w:t>521</w:t>
            </w:r>
          </w:p>
        </w:tc>
        <w:tc>
          <w:tcPr>
            <w:tcW w:w="885" w:type="dxa"/>
            <w:tcBorders>
              <w:top w:val="nil"/>
              <w:left w:val="nil"/>
              <w:bottom w:val="single" w:sz="4" w:space="0" w:color="auto"/>
              <w:right w:val="single" w:sz="4" w:space="0" w:color="auto"/>
            </w:tcBorders>
            <w:shd w:val="clear" w:color="auto" w:fill="auto"/>
            <w:noWrap/>
            <w:vAlign w:val="bottom"/>
            <w:hideMark/>
          </w:tcPr>
          <w:p w14:paraId="0B232187" w14:textId="77777777" w:rsidR="005006BF" w:rsidRPr="005006BF" w:rsidRDefault="005006BF" w:rsidP="005006BF">
            <w:pPr>
              <w:spacing w:after="0" w:line="240" w:lineRule="auto"/>
              <w:jc w:val="right"/>
              <w:rPr>
                <w:rFonts w:ascii="Calibri" w:eastAsia="Times New Roman" w:hAnsi="Calibri" w:cs="Times New Roman"/>
                <w:color w:val="000000"/>
                <w:sz w:val="20"/>
                <w:szCs w:val="20"/>
              </w:rPr>
            </w:pPr>
            <w:r w:rsidRPr="005006BF">
              <w:rPr>
                <w:rFonts w:ascii="Calibri" w:eastAsia="Times New Roman" w:hAnsi="Calibri" w:cs="Times New Roman"/>
                <w:color w:val="000000"/>
                <w:sz w:val="20"/>
                <w:szCs w:val="20"/>
              </w:rPr>
              <w:t>365</w:t>
            </w:r>
          </w:p>
        </w:tc>
        <w:tc>
          <w:tcPr>
            <w:tcW w:w="1132" w:type="dxa"/>
            <w:tcBorders>
              <w:top w:val="nil"/>
              <w:left w:val="nil"/>
              <w:bottom w:val="single" w:sz="4" w:space="0" w:color="auto"/>
              <w:right w:val="single" w:sz="4" w:space="0" w:color="auto"/>
            </w:tcBorders>
            <w:shd w:val="clear" w:color="auto" w:fill="auto"/>
            <w:noWrap/>
            <w:vAlign w:val="bottom"/>
            <w:hideMark/>
          </w:tcPr>
          <w:p w14:paraId="5DC9E4A0" w14:textId="77777777" w:rsidR="005006BF" w:rsidRPr="005006BF" w:rsidRDefault="005006BF" w:rsidP="005006BF">
            <w:pPr>
              <w:spacing w:after="0" w:line="240" w:lineRule="auto"/>
              <w:jc w:val="right"/>
              <w:rPr>
                <w:rFonts w:ascii="Calibri" w:eastAsia="Times New Roman" w:hAnsi="Calibri" w:cs="Times New Roman"/>
                <w:color w:val="000000"/>
                <w:sz w:val="20"/>
                <w:szCs w:val="20"/>
              </w:rPr>
            </w:pPr>
            <w:r w:rsidRPr="005006BF">
              <w:rPr>
                <w:rFonts w:ascii="Calibri" w:eastAsia="Times New Roman" w:hAnsi="Calibri" w:cs="Times New Roman"/>
                <w:color w:val="000000"/>
                <w:sz w:val="20"/>
                <w:szCs w:val="20"/>
              </w:rPr>
              <w:t>255</w:t>
            </w:r>
          </w:p>
        </w:tc>
        <w:tc>
          <w:tcPr>
            <w:tcW w:w="1091" w:type="dxa"/>
            <w:tcBorders>
              <w:top w:val="nil"/>
              <w:left w:val="nil"/>
              <w:bottom w:val="single" w:sz="4" w:space="0" w:color="auto"/>
              <w:right w:val="single" w:sz="4" w:space="0" w:color="auto"/>
            </w:tcBorders>
            <w:shd w:val="clear" w:color="auto" w:fill="auto"/>
            <w:noWrap/>
            <w:vAlign w:val="bottom"/>
            <w:hideMark/>
          </w:tcPr>
          <w:p w14:paraId="2554AAE3" w14:textId="77777777" w:rsidR="005006BF" w:rsidRPr="005006BF" w:rsidRDefault="005006BF" w:rsidP="005006BF">
            <w:pPr>
              <w:spacing w:after="0" w:line="240" w:lineRule="auto"/>
              <w:jc w:val="right"/>
              <w:rPr>
                <w:rFonts w:ascii="Calibri" w:eastAsia="Times New Roman" w:hAnsi="Calibri" w:cs="Times New Roman"/>
                <w:color w:val="000000"/>
                <w:sz w:val="20"/>
                <w:szCs w:val="20"/>
              </w:rPr>
            </w:pPr>
            <w:r w:rsidRPr="005006BF">
              <w:rPr>
                <w:rFonts w:ascii="Calibri" w:eastAsia="Times New Roman" w:hAnsi="Calibri" w:cs="Times New Roman"/>
                <w:color w:val="000000"/>
                <w:sz w:val="20"/>
                <w:szCs w:val="20"/>
              </w:rPr>
              <w:t>192</w:t>
            </w:r>
          </w:p>
        </w:tc>
        <w:tc>
          <w:tcPr>
            <w:tcW w:w="1091" w:type="dxa"/>
            <w:tcBorders>
              <w:top w:val="nil"/>
              <w:left w:val="nil"/>
              <w:bottom w:val="single" w:sz="4" w:space="0" w:color="auto"/>
              <w:right w:val="single" w:sz="4" w:space="0" w:color="auto"/>
            </w:tcBorders>
            <w:shd w:val="clear" w:color="auto" w:fill="auto"/>
            <w:noWrap/>
            <w:vAlign w:val="bottom"/>
            <w:hideMark/>
          </w:tcPr>
          <w:p w14:paraId="3C2C9B5C" w14:textId="77777777" w:rsidR="005006BF" w:rsidRPr="005006BF" w:rsidRDefault="005006BF" w:rsidP="005006BF">
            <w:pPr>
              <w:spacing w:after="0" w:line="240" w:lineRule="auto"/>
              <w:jc w:val="right"/>
              <w:rPr>
                <w:rFonts w:ascii="Calibri" w:eastAsia="Times New Roman" w:hAnsi="Calibri" w:cs="Times New Roman"/>
                <w:color w:val="000000"/>
                <w:sz w:val="20"/>
                <w:szCs w:val="20"/>
              </w:rPr>
            </w:pPr>
            <w:r w:rsidRPr="005006BF">
              <w:rPr>
                <w:rFonts w:ascii="Calibri" w:eastAsia="Times New Roman" w:hAnsi="Calibri" w:cs="Times New Roman"/>
                <w:color w:val="000000"/>
                <w:sz w:val="20"/>
                <w:szCs w:val="20"/>
              </w:rPr>
              <w:t>163</w:t>
            </w:r>
          </w:p>
        </w:tc>
        <w:tc>
          <w:tcPr>
            <w:tcW w:w="1077" w:type="dxa"/>
            <w:tcBorders>
              <w:top w:val="nil"/>
              <w:left w:val="nil"/>
              <w:bottom w:val="single" w:sz="4" w:space="0" w:color="auto"/>
              <w:right w:val="single" w:sz="4" w:space="0" w:color="auto"/>
            </w:tcBorders>
            <w:shd w:val="clear" w:color="auto" w:fill="auto"/>
            <w:noWrap/>
            <w:vAlign w:val="bottom"/>
            <w:hideMark/>
          </w:tcPr>
          <w:p w14:paraId="1650EA8C" w14:textId="77777777" w:rsidR="005006BF" w:rsidRPr="005006BF" w:rsidRDefault="005006BF" w:rsidP="005006BF">
            <w:pPr>
              <w:spacing w:after="0" w:line="240" w:lineRule="auto"/>
              <w:jc w:val="right"/>
              <w:rPr>
                <w:rFonts w:ascii="Calibri" w:eastAsia="Times New Roman" w:hAnsi="Calibri" w:cs="Times New Roman"/>
                <w:color w:val="000000"/>
                <w:sz w:val="20"/>
                <w:szCs w:val="20"/>
              </w:rPr>
            </w:pPr>
            <w:r w:rsidRPr="005006BF">
              <w:rPr>
                <w:rFonts w:ascii="Calibri" w:eastAsia="Times New Roman" w:hAnsi="Calibri" w:cs="Times New Roman"/>
                <w:color w:val="000000"/>
                <w:sz w:val="20"/>
                <w:szCs w:val="20"/>
              </w:rPr>
              <w:t>138</w:t>
            </w:r>
          </w:p>
        </w:tc>
        <w:tc>
          <w:tcPr>
            <w:tcW w:w="1068" w:type="dxa"/>
            <w:tcBorders>
              <w:top w:val="nil"/>
              <w:left w:val="nil"/>
              <w:bottom w:val="single" w:sz="4" w:space="0" w:color="auto"/>
              <w:right w:val="single" w:sz="4" w:space="0" w:color="auto"/>
            </w:tcBorders>
            <w:shd w:val="clear" w:color="auto" w:fill="auto"/>
            <w:noWrap/>
            <w:vAlign w:val="bottom"/>
            <w:hideMark/>
          </w:tcPr>
          <w:p w14:paraId="3942B355" w14:textId="77777777" w:rsidR="005006BF" w:rsidRPr="005006BF" w:rsidRDefault="005006BF" w:rsidP="005006BF">
            <w:pPr>
              <w:spacing w:after="0" w:line="240" w:lineRule="auto"/>
              <w:jc w:val="right"/>
              <w:rPr>
                <w:rFonts w:ascii="Calibri" w:eastAsia="Times New Roman" w:hAnsi="Calibri" w:cs="Times New Roman"/>
                <w:color w:val="000000"/>
                <w:sz w:val="20"/>
                <w:szCs w:val="20"/>
              </w:rPr>
            </w:pPr>
            <w:r w:rsidRPr="005006BF">
              <w:rPr>
                <w:rFonts w:ascii="Calibri" w:eastAsia="Times New Roman" w:hAnsi="Calibri" w:cs="Times New Roman"/>
                <w:color w:val="000000"/>
                <w:sz w:val="20"/>
                <w:szCs w:val="20"/>
              </w:rPr>
              <w:t>118</w:t>
            </w:r>
          </w:p>
        </w:tc>
        <w:tc>
          <w:tcPr>
            <w:tcW w:w="686" w:type="dxa"/>
            <w:tcBorders>
              <w:top w:val="nil"/>
              <w:left w:val="nil"/>
              <w:bottom w:val="single" w:sz="4" w:space="0" w:color="auto"/>
              <w:right w:val="single" w:sz="4" w:space="0" w:color="auto"/>
            </w:tcBorders>
            <w:shd w:val="clear" w:color="auto" w:fill="auto"/>
            <w:noWrap/>
            <w:vAlign w:val="bottom"/>
            <w:hideMark/>
          </w:tcPr>
          <w:p w14:paraId="4EE69FBE" w14:textId="77777777" w:rsidR="005006BF" w:rsidRPr="005006BF" w:rsidRDefault="005006BF" w:rsidP="005006BF">
            <w:pPr>
              <w:spacing w:after="0" w:line="240" w:lineRule="auto"/>
              <w:jc w:val="right"/>
              <w:rPr>
                <w:rFonts w:ascii="Calibri" w:eastAsia="Times New Roman" w:hAnsi="Calibri" w:cs="Times New Roman"/>
                <w:color w:val="000000"/>
                <w:sz w:val="20"/>
                <w:szCs w:val="20"/>
              </w:rPr>
            </w:pPr>
            <w:r w:rsidRPr="005006BF">
              <w:rPr>
                <w:rFonts w:ascii="Calibri" w:eastAsia="Times New Roman" w:hAnsi="Calibri" w:cs="Times New Roman"/>
                <w:color w:val="000000"/>
                <w:sz w:val="20"/>
                <w:szCs w:val="20"/>
              </w:rPr>
              <w:t>100</w:t>
            </w:r>
          </w:p>
        </w:tc>
      </w:tr>
      <w:tr w:rsidR="008B6ECA" w:rsidRPr="008B6ECA" w14:paraId="660005FA" w14:textId="77777777" w:rsidTr="008B6ECA">
        <w:trPr>
          <w:trHeight w:val="195"/>
        </w:trPr>
        <w:tc>
          <w:tcPr>
            <w:tcW w:w="1404" w:type="dxa"/>
            <w:tcBorders>
              <w:top w:val="nil"/>
              <w:left w:val="single" w:sz="4" w:space="0" w:color="auto"/>
              <w:bottom w:val="single" w:sz="4" w:space="0" w:color="auto"/>
              <w:right w:val="single" w:sz="4" w:space="0" w:color="auto"/>
            </w:tcBorders>
            <w:shd w:val="clear" w:color="auto" w:fill="auto"/>
            <w:noWrap/>
            <w:vAlign w:val="bottom"/>
            <w:hideMark/>
          </w:tcPr>
          <w:p w14:paraId="710C6563" w14:textId="77777777" w:rsidR="005006BF" w:rsidRPr="005006BF" w:rsidRDefault="005006BF" w:rsidP="005006BF">
            <w:pPr>
              <w:spacing w:after="0" w:line="240" w:lineRule="auto"/>
              <w:rPr>
                <w:rFonts w:ascii="Calibri" w:eastAsia="Times New Roman" w:hAnsi="Calibri" w:cs="Times New Roman"/>
                <w:b/>
                <w:bCs/>
                <w:color w:val="000000"/>
                <w:sz w:val="20"/>
                <w:szCs w:val="20"/>
              </w:rPr>
            </w:pPr>
            <w:r w:rsidRPr="005006BF">
              <w:rPr>
                <w:rFonts w:ascii="Calibri" w:eastAsia="Times New Roman" w:hAnsi="Calibri" w:cs="Times New Roman"/>
                <w:b/>
                <w:bCs/>
                <w:color w:val="000000"/>
                <w:sz w:val="20"/>
                <w:szCs w:val="20"/>
              </w:rPr>
              <w:t>Aggressive Weekly</w:t>
            </w:r>
          </w:p>
        </w:tc>
        <w:tc>
          <w:tcPr>
            <w:tcW w:w="1396" w:type="dxa"/>
            <w:tcBorders>
              <w:top w:val="nil"/>
              <w:left w:val="nil"/>
              <w:bottom w:val="single" w:sz="4" w:space="0" w:color="auto"/>
              <w:right w:val="single" w:sz="4" w:space="0" w:color="auto"/>
            </w:tcBorders>
            <w:shd w:val="clear" w:color="auto" w:fill="auto"/>
            <w:noWrap/>
            <w:vAlign w:val="bottom"/>
            <w:hideMark/>
          </w:tcPr>
          <w:p w14:paraId="039A85AC" w14:textId="77777777" w:rsidR="005006BF" w:rsidRPr="005006BF" w:rsidRDefault="005006BF" w:rsidP="005006BF">
            <w:pPr>
              <w:spacing w:after="0" w:line="240" w:lineRule="auto"/>
              <w:jc w:val="right"/>
              <w:rPr>
                <w:rFonts w:ascii="Calibri" w:eastAsia="Times New Roman" w:hAnsi="Calibri" w:cs="Times New Roman"/>
                <w:color w:val="000000"/>
                <w:sz w:val="20"/>
                <w:szCs w:val="20"/>
              </w:rPr>
            </w:pPr>
            <w:r w:rsidRPr="005006BF">
              <w:rPr>
                <w:rFonts w:ascii="Calibri" w:eastAsia="Times New Roman" w:hAnsi="Calibri" w:cs="Times New Roman"/>
                <w:color w:val="000000"/>
                <w:sz w:val="20"/>
                <w:szCs w:val="20"/>
              </w:rPr>
              <w:t>24</w:t>
            </w:r>
          </w:p>
        </w:tc>
        <w:tc>
          <w:tcPr>
            <w:tcW w:w="830" w:type="dxa"/>
            <w:tcBorders>
              <w:top w:val="nil"/>
              <w:left w:val="nil"/>
              <w:bottom w:val="single" w:sz="4" w:space="0" w:color="auto"/>
              <w:right w:val="single" w:sz="4" w:space="0" w:color="auto"/>
            </w:tcBorders>
            <w:shd w:val="clear" w:color="auto" w:fill="auto"/>
            <w:noWrap/>
            <w:vAlign w:val="bottom"/>
            <w:hideMark/>
          </w:tcPr>
          <w:p w14:paraId="5A06DC7E" w14:textId="77777777" w:rsidR="005006BF" w:rsidRPr="005006BF" w:rsidRDefault="005006BF" w:rsidP="005006BF">
            <w:pPr>
              <w:spacing w:after="0" w:line="240" w:lineRule="auto"/>
              <w:jc w:val="right"/>
              <w:rPr>
                <w:rFonts w:ascii="Calibri" w:eastAsia="Times New Roman" w:hAnsi="Calibri" w:cs="Times New Roman"/>
                <w:color w:val="000000"/>
                <w:sz w:val="20"/>
                <w:szCs w:val="20"/>
              </w:rPr>
            </w:pPr>
            <w:r w:rsidRPr="005006BF">
              <w:rPr>
                <w:rFonts w:ascii="Calibri" w:eastAsia="Times New Roman" w:hAnsi="Calibri" w:cs="Times New Roman"/>
                <w:color w:val="000000"/>
                <w:sz w:val="20"/>
                <w:szCs w:val="20"/>
              </w:rPr>
              <w:t>13</w:t>
            </w:r>
          </w:p>
        </w:tc>
        <w:tc>
          <w:tcPr>
            <w:tcW w:w="885" w:type="dxa"/>
            <w:tcBorders>
              <w:top w:val="nil"/>
              <w:left w:val="nil"/>
              <w:bottom w:val="single" w:sz="4" w:space="0" w:color="auto"/>
              <w:right w:val="single" w:sz="4" w:space="0" w:color="auto"/>
            </w:tcBorders>
            <w:shd w:val="clear" w:color="auto" w:fill="auto"/>
            <w:noWrap/>
            <w:vAlign w:val="bottom"/>
            <w:hideMark/>
          </w:tcPr>
          <w:p w14:paraId="5445B2C7" w14:textId="77777777" w:rsidR="005006BF" w:rsidRPr="005006BF" w:rsidRDefault="005006BF" w:rsidP="005006BF">
            <w:pPr>
              <w:spacing w:after="0" w:line="240" w:lineRule="auto"/>
              <w:jc w:val="right"/>
              <w:rPr>
                <w:rFonts w:ascii="Calibri" w:eastAsia="Times New Roman" w:hAnsi="Calibri" w:cs="Times New Roman"/>
                <w:color w:val="000000"/>
                <w:sz w:val="20"/>
                <w:szCs w:val="20"/>
              </w:rPr>
            </w:pPr>
            <w:r w:rsidRPr="005006BF">
              <w:rPr>
                <w:rFonts w:ascii="Calibri" w:eastAsia="Times New Roman" w:hAnsi="Calibri" w:cs="Times New Roman"/>
                <w:color w:val="000000"/>
                <w:sz w:val="20"/>
                <w:szCs w:val="20"/>
              </w:rPr>
              <w:t>9</w:t>
            </w:r>
          </w:p>
        </w:tc>
        <w:tc>
          <w:tcPr>
            <w:tcW w:w="1132" w:type="dxa"/>
            <w:tcBorders>
              <w:top w:val="nil"/>
              <w:left w:val="nil"/>
              <w:bottom w:val="single" w:sz="4" w:space="0" w:color="auto"/>
              <w:right w:val="single" w:sz="4" w:space="0" w:color="auto"/>
            </w:tcBorders>
            <w:shd w:val="clear" w:color="auto" w:fill="auto"/>
            <w:noWrap/>
            <w:vAlign w:val="bottom"/>
            <w:hideMark/>
          </w:tcPr>
          <w:p w14:paraId="10E85071" w14:textId="77777777" w:rsidR="005006BF" w:rsidRPr="005006BF" w:rsidRDefault="005006BF" w:rsidP="005006BF">
            <w:pPr>
              <w:spacing w:after="0" w:line="240" w:lineRule="auto"/>
              <w:jc w:val="right"/>
              <w:rPr>
                <w:rFonts w:ascii="Calibri" w:eastAsia="Times New Roman" w:hAnsi="Calibri" w:cs="Times New Roman"/>
                <w:color w:val="000000"/>
                <w:sz w:val="20"/>
                <w:szCs w:val="20"/>
              </w:rPr>
            </w:pPr>
            <w:r w:rsidRPr="005006BF">
              <w:rPr>
                <w:rFonts w:ascii="Calibri" w:eastAsia="Times New Roman" w:hAnsi="Calibri" w:cs="Times New Roman"/>
                <w:color w:val="000000"/>
                <w:sz w:val="20"/>
                <w:szCs w:val="20"/>
              </w:rPr>
              <w:t>6</w:t>
            </w:r>
          </w:p>
        </w:tc>
        <w:tc>
          <w:tcPr>
            <w:tcW w:w="1091" w:type="dxa"/>
            <w:tcBorders>
              <w:top w:val="nil"/>
              <w:left w:val="nil"/>
              <w:bottom w:val="single" w:sz="4" w:space="0" w:color="auto"/>
              <w:right w:val="single" w:sz="4" w:space="0" w:color="auto"/>
            </w:tcBorders>
            <w:shd w:val="clear" w:color="auto" w:fill="auto"/>
            <w:noWrap/>
            <w:vAlign w:val="bottom"/>
            <w:hideMark/>
          </w:tcPr>
          <w:p w14:paraId="3B62B1DA" w14:textId="77777777" w:rsidR="005006BF" w:rsidRPr="005006BF" w:rsidRDefault="005006BF" w:rsidP="005006BF">
            <w:pPr>
              <w:spacing w:after="0" w:line="240" w:lineRule="auto"/>
              <w:jc w:val="right"/>
              <w:rPr>
                <w:rFonts w:ascii="Calibri" w:eastAsia="Times New Roman" w:hAnsi="Calibri" w:cs="Times New Roman"/>
                <w:color w:val="000000"/>
                <w:sz w:val="20"/>
                <w:szCs w:val="20"/>
              </w:rPr>
            </w:pPr>
            <w:r w:rsidRPr="005006BF">
              <w:rPr>
                <w:rFonts w:ascii="Calibri" w:eastAsia="Times New Roman" w:hAnsi="Calibri" w:cs="Times New Roman"/>
                <w:color w:val="000000"/>
                <w:sz w:val="20"/>
                <w:szCs w:val="20"/>
              </w:rPr>
              <w:t>5</w:t>
            </w:r>
          </w:p>
        </w:tc>
        <w:tc>
          <w:tcPr>
            <w:tcW w:w="1091" w:type="dxa"/>
            <w:tcBorders>
              <w:top w:val="nil"/>
              <w:left w:val="nil"/>
              <w:bottom w:val="single" w:sz="4" w:space="0" w:color="auto"/>
              <w:right w:val="single" w:sz="4" w:space="0" w:color="auto"/>
            </w:tcBorders>
            <w:shd w:val="clear" w:color="auto" w:fill="auto"/>
            <w:noWrap/>
            <w:vAlign w:val="bottom"/>
            <w:hideMark/>
          </w:tcPr>
          <w:p w14:paraId="544DD7E1" w14:textId="77777777" w:rsidR="005006BF" w:rsidRPr="005006BF" w:rsidRDefault="005006BF" w:rsidP="005006BF">
            <w:pPr>
              <w:spacing w:after="0" w:line="240" w:lineRule="auto"/>
              <w:jc w:val="right"/>
              <w:rPr>
                <w:rFonts w:ascii="Calibri" w:eastAsia="Times New Roman" w:hAnsi="Calibri" w:cs="Times New Roman"/>
                <w:color w:val="000000"/>
                <w:sz w:val="20"/>
                <w:szCs w:val="20"/>
              </w:rPr>
            </w:pPr>
            <w:r w:rsidRPr="005006BF">
              <w:rPr>
                <w:rFonts w:ascii="Calibri" w:eastAsia="Times New Roman" w:hAnsi="Calibri" w:cs="Times New Roman"/>
                <w:color w:val="000000"/>
                <w:sz w:val="20"/>
                <w:szCs w:val="20"/>
              </w:rPr>
              <w:t>4</w:t>
            </w:r>
          </w:p>
        </w:tc>
        <w:tc>
          <w:tcPr>
            <w:tcW w:w="1077" w:type="dxa"/>
            <w:tcBorders>
              <w:top w:val="nil"/>
              <w:left w:val="nil"/>
              <w:bottom w:val="single" w:sz="4" w:space="0" w:color="auto"/>
              <w:right w:val="single" w:sz="4" w:space="0" w:color="auto"/>
            </w:tcBorders>
            <w:shd w:val="clear" w:color="auto" w:fill="auto"/>
            <w:noWrap/>
            <w:vAlign w:val="bottom"/>
            <w:hideMark/>
          </w:tcPr>
          <w:p w14:paraId="495FAADB" w14:textId="77777777" w:rsidR="005006BF" w:rsidRPr="005006BF" w:rsidRDefault="005006BF" w:rsidP="005006BF">
            <w:pPr>
              <w:spacing w:after="0" w:line="240" w:lineRule="auto"/>
              <w:jc w:val="right"/>
              <w:rPr>
                <w:rFonts w:ascii="Calibri" w:eastAsia="Times New Roman" w:hAnsi="Calibri" w:cs="Times New Roman"/>
                <w:color w:val="000000"/>
                <w:sz w:val="20"/>
                <w:szCs w:val="20"/>
              </w:rPr>
            </w:pPr>
            <w:r w:rsidRPr="005006BF">
              <w:rPr>
                <w:rFonts w:ascii="Calibri" w:eastAsia="Times New Roman" w:hAnsi="Calibri" w:cs="Times New Roman"/>
                <w:color w:val="000000"/>
                <w:sz w:val="20"/>
                <w:szCs w:val="20"/>
              </w:rPr>
              <w:t>3</w:t>
            </w:r>
          </w:p>
        </w:tc>
        <w:tc>
          <w:tcPr>
            <w:tcW w:w="1068" w:type="dxa"/>
            <w:tcBorders>
              <w:top w:val="nil"/>
              <w:left w:val="nil"/>
              <w:bottom w:val="single" w:sz="4" w:space="0" w:color="auto"/>
              <w:right w:val="single" w:sz="4" w:space="0" w:color="auto"/>
            </w:tcBorders>
            <w:shd w:val="clear" w:color="auto" w:fill="auto"/>
            <w:noWrap/>
            <w:vAlign w:val="bottom"/>
            <w:hideMark/>
          </w:tcPr>
          <w:p w14:paraId="762A5E69" w14:textId="77777777" w:rsidR="005006BF" w:rsidRPr="005006BF" w:rsidRDefault="005006BF" w:rsidP="005006BF">
            <w:pPr>
              <w:spacing w:after="0" w:line="240" w:lineRule="auto"/>
              <w:jc w:val="right"/>
              <w:rPr>
                <w:rFonts w:ascii="Calibri" w:eastAsia="Times New Roman" w:hAnsi="Calibri" w:cs="Times New Roman"/>
                <w:color w:val="000000"/>
                <w:sz w:val="20"/>
                <w:szCs w:val="20"/>
              </w:rPr>
            </w:pPr>
            <w:r w:rsidRPr="005006BF">
              <w:rPr>
                <w:rFonts w:ascii="Calibri" w:eastAsia="Times New Roman" w:hAnsi="Calibri" w:cs="Times New Roman"/>
                <w:color w:val="000000"/>
                <w:sz w:val="20"/>
                <w:szCs w:val="20"/>
              </w:rPr>
              <w:t>3</w:t>
            </w:r>
          </w:p>
        </w:tc>
        <w:tc>
          <w:tcPr>
            <w:tcW w:w="686" w:type="dxa"/>
            <w:tcBorders>
              <w:top w:val="nil"/>
              <w:left w:val="nil"/>
              <w:bottom w:val="single" w:sz="4" w:space="0" w:color="auto"/>
              <w:right w:val="single" w:sz="4" w:space="0" w:color="auto"/>
            </w:tcBorders>
            <w:shd w:val="clear" w:color="auto" w:fill="auto"/>
            <w:noWrap/>
            <w:vAlign w:val="bottom"/>
            <w:hideMark/>
          </w:tcPr>
          <w:p w14:paraId="5274CD97" w14:textId="77777777" w:rsidR="005006BF" w:rsidRPr="005006BF" w:rsidRDefault="005006BF" w:rsidP="005006BF">
            <w:pPr>
              <w:spacing w:after="0" w:line="240" w:lineRule="auto"/>
              <w:jc w:val="right"/>
              <w:rPr>
                <w:rFonts w:ascii="Calibri" w:eastAsia="Times New Roman" w:hAnsi="Calibri" w:cs="Times New Roman"/>
                <w:color w:val="000000"/>
                <w:sz w:val="20"/>
                <w:szCs w:val="20"/>
              </w:rPr>
            </w:pPr>
            <w:r w:rsidRPr="005006BF">
              <w:rPr>
                <w:rFonts w:ascii="Calibri" w:eastAsia="Times New Roman" w:hAnsi="Calibri" w:cs="Times New Roman"/>
                <w:color w:val="000000"/>
                <w:sz w:val="20"/>
                <w:szCs w:val="20"/>
              </w:rPr>
              <w:t>3</w:t>
            </w:r>
          </w:p>
        </w:tc>
      </w:tr>
    </w:tbl>
    <w:p w14:paraId="5A2B98B6" w14:textId="2113BF40" w:rsidR="005006BF" w:rsidRPr="008B6ECA" w:rsidRDefault="005006BF" w:rsidP="00E64550">
      <w:pPr>
        <w:spacing w:line="240" w:lineRule="auto"/>
        <w:rPr>
          <w:sz w:val="20"/>
          <w:szCs w:val="20"/>
        </w:rPr>
      </w:pPr>
    </w:p>
    <w:p w14:paraId="0D9CC4A8" w14:textId="5DAE1279" w:rsidR="00245C17" w:rsidRDefault="00245C17" w:rsidP="00E64550">
      <w:pPr>
        <w:spacing w:line="240" w:lineRule="auto"/>
        <w:rPr>
          <w:b/>
          <w:bCs/>
        </w:rPr>
      </w:pPr>
      <w:r>
        <w:rPr>
          <w:b/>
          <w:bCs/>
        </w:rPr>
        <w:t xml:space="preserve">Delivery Timeline by Phase </w:t>
      </w:r>
    </w:p>
    <w:p w14:paraId="7A078199" w14:textId="40AAFFE5" w:rsidR="00245C17" w:rsidRDefault="00245C17" w:rsidP="00E64550">
      <w:pPr>
        <w:spacing w:line="240" w:lineRule="auto"/>
      </w:pPr>
      <w:r>
        <w:t xml:space="preserve">Experience tells us that a project of this size will naturally segment into three distinct </w:t>
      </w:r>
      <w:r w:rsidR="008B6ECA">
        <w:t>phases</w:t>
      </w:r>
      <w:r>
        <w:t xml:space="preserve">: </w:t>
      </w:r>
      <w:r w:rsidR="00331A02">
        <w:t>Discovery</w:t>
      </w:r>
      <w:r>
        <w:t xml:space="preserve">, </w:t>
      </w:r>
      <w:r w:rsidR="00331A02">
        <w:t>Core Delivery</w:t>
      </w:r>
      <w:r>
        <w:t xml:space="preserve">, and </w:t>
      </w:r>
      <w:r w:rsidR="00331A02">
        <w:t>Wind Down</w:t>
      </w:r>
      <w:r>
        <w:t xml:space="preserve">. </w:t>
      </w:r>
    </w:p>
    <w:p w14:paraId="6E81F687" w14:textId="47C4BBB8" w:rsidR="00C87291" w:rsidRPr="008B6ECA" w:rsidRDefault="00331A02" w:rsidP="00E64550">
      <w:pPr>
        <w:spacing w:line="240" w:lineRule="auto"/>
        <w:rPr>
          <w:u w:val="single"/>
        </w:rPr>
      </w:pPr>
      <w:r>
        <w:rPr>
          <w:u w:val="single"/>
        </w:rPr>
        <w:t>Discovery</w:t>
      </w:r>
      <w:r w:rsidR="00245C17" w:rsidRPr="008B6ECA">
        <w:rPr>
          <w:u w:val="single"/>
        </w:rPr>
        <w:t xml:space="preserve"> Phase (weeks 1-8) </w:t>
      </w:r>
    </w:p>
    <w:p w14:paraId="2BFE9C06" w14:textId="2A69DE0C" w:rsidR="00245C17" w:rsidRDefault="00245C17" w:rsidP="00E64550">
      <w:pPr>
        <w:spacing w:line="240" w:lineRule="auto"/>
      </w:pPr>
      <w:r>
        <w:t>After project kick off, the HCD team will begin an extensive market survey, collecting contact information and referrals from as many qualified ERP consultants as possible. We will then</w:t>
      </w:r>
      <w:r w:rsidR="00C87291">
        <w:t xml:space="preserve"> A/B </w:t>
      </w:r>
      <w:r>
        <w:t xml:space="preserve">test </w:t>
      </w:r>
      <w:r>
        <w:lastRenderedPageBreak/>
        <w:t xml:space="preserve">various outreach and messaging tactics to identify the most effect way to communicate Intecrowd’s value and attract top talent into our pipeline. </w:t>
      </w:r>
    </w:p>
    <w:p w14:paraId="7A5ED577" w14:textId="429BE91F" w:rsidR="00245C17" w:rsidRDefault="00C87291" w:rsidP="00E64550">
      <w:pPr>
        <w:spacing w:line="240" w:lineRule="auto"/>
      </w:pPr>
      <w:r>
        <w:rPr>
          <w:i/>
          <w:iCs/>
        </w:rPr>
        <w:t>Anticipated bottlenecks</w:t>
      </w:r>
      <w:r w:rsidR="00245C17">
        <w:rPr>
          <w:i/>
          <w:iCs/>
        </w:rPr>
        <w:t xml:space="preserve">: </w:t>
      </w:r>
      <w:r w:rsidR="00245C17">
        <w:t xml:space="preserve">During a </w:t>
      </w:r>
      <w:r w:rsidR="00331A02">
        <w:t>Discovery</w:t>
      </w:r>
      <w:r w:rsidR="00245C17">
        <w:t xml:space="preserve"> phase, road bumps and false starts are expected. Our </w:t>
      </w:r>
      <w:r>
        <w:t>researcher</w:t>
      </w:r>
      <w:r w:rsidR="00245C17">
        <w:t>s and recruiters are learning how to best articulate the Intecrowd brand promise and the Intecrowd team is adjusting to the newly established process. Interviews will be less consistent and candida</w:t>
      </w:r>
      <w:r>
        <w:t>t</w:t>
      </w:r>
      <w:r w:rsidR="00245C17">
        <w:t xml:space="preserve">e quality will likely vary </w:t>
      </w:r>
      <w:r>
        <w:t xml:space="preserve">considerably as we </w:t>
      </w:r>
      <w:proofErr w:type="gramStart"/>
      <w:r>
        <w:t>hone in on</w:t>
      </w:r>
      <w:proofErr w:type="gramEnd"/>
      <w:r>
        <w:t xml:space="preserve"> the ideal candidate profile</w:t>
      </w:r>
      <w:r w:rsidR="00245C17">
        <w:t xml:space="preserve">. </w:t>
      </w:r>
      <w:r>
        <w:t>We will also start to see how our first hires are performing on their Workday certifications by the end of this phase.</w:t>
      </w:r>
    </w:p>
    <w:p w14:paraId="2EFC3A3E" w14:textId="3A784BD3" w:rsidR="00245C17" w:rsidRDefault="00C87291" w:rsidP="00E64550">
      <w:pPr>
        <w:spacing w:line="240" w:lineRule="auto"/>
      </w:pPr>
      <w:r>
        <w:rPr>
          <w:i/>
          <w:iCs/>
        </w:rPr>
        <w:t>The HCD Response</w:t>
      </w:r>
      <w:r w:rsidR="00245C17">
        <w:rPr>
          <w:i/>
          <w:iCs/>
        </w:rPr>
        <w:t xml:space="preserve">: </w:t>
      </w:r>
      <w:r w:rsidR="00245C17">
        <w:t xml:space="preserve">Anticipating these issues, </w:t>
      </w:r>
      <w:r>
        <w:t xml:space="preserve">we plan on launching a research and outreach push for the first 8 weeks after project kickoff. Additional researchers will be brought on as temporary resources and all Senior Recruiters will take part in candidate identification activities when not qualifying candidates. </w:t>
      </w:r>
    </w:p>
    <w:p w14:paraId="3401B2D9" w14:textId="780C3F4E" w:rsidR="00C87291" w:rsidRPr="00C87291" w:rsidRDefault="00C87291" w:rsidP="00E64550">
      <w:pPr>
        <w:spacing w:line="240" w:lineRule="auto"/>
      </w:pPr>
      <w:r>
        <w:rPr>
          <w:i/>
          <w:iCs/>
        </w:rPr>
        <w:t>Intecrowd Keys to Success</w:t>
      </w:r>
      <w:r>
        <w:t xml:space="preserve">: Communication is key early on. Frequent, honest, and consistent feedback on behalf of the Intecrowd team will determine the direction of our future efforts. The goal is to land on a cadence and schedule that allows for the maximum number of new candidates interviews each week, without adversely impacting client deliverables. </w:t>
      </w:r>
    </w:p>
    <w:p w14:paraId="5BBDFD99" w14:textId="4A22A6AF" w:rsidR="00C87291" w:rsidRPr="008B6ECA" w:rsidRDefault="00C87291" w:rsidP="00E64550">
      <w:pPr>
        <w:spacing w:line="240" w:lineRule="auto"/>
        <w:rPr>
          <w:u w:val="single"/>
        </w:rPr>
      </w:pPr>
      <w:r w:rsidRPr="008B6ECA">
        <w:rPr>
          <w:u w:val="single"/>
        </w:rPr>
        <w:t xml:space="preserve">Core Delivery Phase (weeks 9–30) </w:t>
      </w:r>
    </w:p>
    <w:p w14:paraId="6A76A596" w14:textId="44C3AD00" w:rsidR="00C87291" w:rsidRDefault="00C87291" w:rsidP="00E64550">
      <w:pPr>
        <w:spacing w:line="240" w:lineRule="auto"/>
      </w:pPr>
      <w:r>
        <w:t xml:space="preserve">After messaging and screening are hone during the </w:t>
      </w:r>
      <w:r w:rsidR="00331A02">
        <w:t>Discovery</w:t>
      </w:r>
      <w:r>
        <w:t xml:space="preserve"> phase, we will see a tightening of our key metrics for the </w:t>
      </w:r>
      <w:r w:rsidR="00150E5C">
        <w:t xml:space="preserve">next 20-24 weeks. This Core Delivery phase is when the ratio between screened candidates, interviewed candidates, and offers made should fall steadily week by week. As a result, our </w:t>
      </w:r>
      <w:r w:rsidR="008231EB">
        <w:t>T</w:t>
      </w:r>
      <w:r w:rsidR="00150E5C">
        <w:t>ime-to-</w:t>
      </w:r>
      <w:r w:rsidR="008231EB">
        <w:t>H</w:t>
      </w:r>
      <w:r w:rsidR="00150E5C">
        <w:t xml:space="preserve">ire and Extended Offer: Accepted Offer ratio should decrease as well. </w:t>
      </w:r>
    </w:p>
    <w:p w14:paraId="0376D470" w14:textId="572F8604" w:rsidR="00150E5C" w:rsidRDefault="00150E5C" w:rsidP="00E64550">
      <w:pPr>
        <w:spacing w:line="240" w:lineRule="auto"/>
      </w:pPr>
      <w:r>
        <w:rPr>
          <w:i/>
          <w:iCs/>
        </w:rPr>
        <w:t xml:space="preserve">Anticipated Bottlenecks: </w:t>
      </w:r>
      <w:r>
        <w:t>Just as research</w:t>
      </w:r>
      <w:r w:rsidR="008B6ECA">
        <w:t>/o</w:t>
      </w:r>
      <w:r>
        <w:t>utreach were the pain points</w:t>
      </w:r>
      <w:r w:rsidR="008B6ECA">
        <w:t xml:space="preserve"> early on</w:t>
      </w:r>
      <w:r>
        <w:t xml:space="preserve">, interviewing and scheduling will cause the most tension during the Core Delivery phase. </w:t>
      </w:r>
      <w:r w:rsidR="008231EB">
        <w:t>O</w:t>
      </w:r>
      <w:r>
        <w:t>ur team becomes more efficient at identifying</w:t>
      </w:r>
      <w:r w:rsidR="008231EB">
        <w:t>/</w:t>
      </w:r>
      <w:r>
        <w:t xml:space="preserve">attracting suitable candidates, </w:t>
      </w:r>
      <w:r w:rsidR="008231EB">
        <w:t>requiring</w:t>
      </w:r>
      <w:r>
        <w:t xml:space="preserve"> </w:t>
      </w:r>
      <w:r w:rsidR="008B6ECA">
        <w:t>d</w:t>
      </w:r>
      <w:r>
        <w:t>ecision makers to conduct timely and consistent interviews.</w:t>
      </w:r>
    </w:p>
    <w:p w14:paraId="0EE90D9A" w14:textId="33A7FCE8" w:rsidR="00150E5C" w:rsidRDefault="00150E5C" w:rsidP="00E64550">
      <w:pPr>
        <w:spacing w:line="240" w:lineRule="auto"/>
      </w:pPr>
      <w:r>
        <w:rPr>
          <w:i/>
          <w:iCs/>
        </w:rPr>
        <w:t xml:space="preserve">The HCD Response: </w:t>
      </w:r>
      <w:r>
        <w:t xml:space="preserve">Two researchers will be replaced by Senior Recruiters and we will augment with an additional project coordinator, </w:t>
      </w:r>
      <w:r w:rsidR="008231EB">
        <w:t>to address scheduling and interview needs.</w:t>
      </w:r>
    </w:p>
    <w:p w14:paraId="6BBFB87F" w14:textId="73A07BBF" w:rsidR="00150E5C" w:rsidRDefault="00150E5C" w:rsidP="00E64550">
      <w:pPr>
        <w:spacing w:line="240" w:lineRule="auto"/>
      </w:pPr>
      <w:r>
        <w:rPr>
          <w:i/>
          <w:iCs/>
        </w:rPr>
        <w:t>Intecrowd Keys to Success</w:t>
      </w:r>
      <w:r>
        <w:t>: Calendar management will be essential in order to accommodate the increased level of interviews during the Core Delivery phase.</w:t>
      </w:r>
      <w:r w:rsidR="008231EB">
        <w:t xml:space="preserve"> Maintaining </w:t>
      </w:r>
      <w:r>
        <w:t xml:space="preserve">pre-scheduled </w:t>
      </w:r>
      <w:r w:rsidR="008231EB">
        <w:t>“</w:t>
      </w:r>
      <w:r>
        <w:t>interview blocks</w:t>
      </w:r>
      <w:r w:rsidR="008231EB">
        <w:t>”</w:t>
      </w:r>
      <w:r>
        <w:t xml:space="preserve"> that remain constant each week</w:t>
      </w:r>
      <w:r w:rsidR="008231EB">
        <w:t xml:space="preserve"> will help to cut down on last minute scheduling changes.</w:t>
      </w:r>
      <w:r>
        <w:t xml:space="preserve"> interviews at the last minute. </w:t>
      </w:r>
    </w:p>
    <w:p w14:paraId="6EB84213" w14:textId="41300BE5" w:rsidR="008231EB" w:rsidRDefault="008231EB" w:rsidP="00E64550">
      <w:pPr>
        <w:spacing w:line="240" w:lineRule="auto"/>
        <w:rPr>
          <w:u w:val="single"/>
        </w:rPr>
      </w:pPr>
      <w:r>
        <w:rPr>
          <w:u w:val="single"/>
        </w:rPr>
        <w:t>Wind Down Phase (weeks 31-40)</w:t>
      </w:r>
    </w:p>
    <w:p w14:paraId="6B453A83" w14:textId="2D8FDCEE" w:rsidR="008231EB" w:rsidRDefault="008231EB" w:rsidP="00E64550">
      <w:pPr>
        <w:spacing w:line="240" w:lineRule="auto"/>
      </w:pPr>
      <w:r>
        <w:t xml:space="preserve">In the final weeks of the project, candidates from the early stages will be fully onboarded and performing on contracts. As a result, hiring managers will have a greater sense for their resource gaps and will become more selective with the candidates the chose to extend offers to. We anticipate a decrease in offer per week and a skewing towards more senior, more experienced candidates during this time period. </w:t>
      </w:r>
    </w:p>
    <w:p w14:paraId="031B72ED" w14:textId="1D3A8A98" w:rsidR="008231EB" w:rsidRDefault="008231EB" w:rsidP="00E64550">
      <w:pPr>
        <w:spacing w:line="240" w:lineRule="auto"/>
      </w:pPr>
      <w:r>
        <w:rPr>
          <w:i/>
          <w:iCs/>
        </w:rPr>
        <w:t xml:space="preserve">The HCD Response: </w:t>
      </w:r>
      <w:r>
        <w:t xml:space="preserve">The recruiters who have proven most successful throughout the project will be assigned to the most pressing roles and researchers will shift focus to identifying referral </w:t>
      </w:r>
      <w:r w:rsidR="003E5BF1">
        <w:t>candidates</w:t>
      </w:r>
      <w:r>
        <w:t xml:space="preserve"> for earlier hires. </w:t>
      </w:r>
    </w:p>
    <w:p w14:paraId="780C259C" w14:textId="016872F0" w:rsidR="008231EB" w:rsidRPr="008231EB" w:rsidRDefault="008231EB" w:rsidP="00E64550">
      <w:pPr>
        <w:spacing w:line="240" w:lineRule="auto"/>
      </w:pPr>
      <w:r>
        <w:rPr>
          <w:i/>
          <w:iCs/>
        </w:rPr>
        <w:t xml:space="preserve">Intecrowd Keys to Success: </w:t>
      </w:r>
      <w:r>
        <w:t xml:space="preserve">Thoughtful articulation of skills gaps are key as we fill the remaining roles </w:t>
      </w:r>
      <w:r w:rsidR="003E5BF1">
        <w:t xml:space="preserve">on the project. Additionally, hiring managers should shift their attention from onboarding to nurturing new </w:t>
      </w:r>
      <w:r w:rsidR="003E5BF1">
        <w:lastRenderedPageBreak/>
        <w:t xml:space="preserve">hires, as this will be instrumental in decreasing the number of backfills required within the next 60-90 days. </w:t>
      </w:r>
    </w:p>
    <w:p w14:paraId="0B34EB55" w14:textId="77777777" w:rsidR="00C87291" w:rsidRPr="00245C17" w:rsidRDefault="00C87291" w:rsidP="00E64550">
      <w:pPr>
        <w:spacing w:line="240" w:lineRule="auto"/>
      </w:pPr>
    </w:p>
    <w:p w14:paraId="5A575699" w14:textId="408795E9" w:rsidR="005006BF" w:rsidRDefault="005006BF" w:rsidP="00E64550">
      <w:pPr>
        <w:spacing w:line="240" w:lineRule="auto"/>
        <w:rPr>
          <w:b/>
          <w:bCs/>
        </w:rPr>
      </w:pPr>
      <w:r>
        <w:rPr>
          <w:b/>
          <w:bCs/>
        </w:rPr>
        <w:t xml:space="preserve">Potential </w:t>
      </w:r>
      <w:r w:rsidR="00863E15">
        <w:rPr>
          <w:b/>
          <w:bCs/>
        </w:rPr>
        <w:t xml:space="preserve">Issues and Probable Levers </w:t>
      </w:r>
    </w:p>
    <w:p w14:paraId="2C8EEBB4" w14:textId="77777777" w:rsidR="0067493D" w:rsidRDefault="0067493D" w:rsidP="00E64550">
      <w:pPr>
        <w:spacing w:line="240" w:lineRule="auto"/>
        <w:rPr>
          <w:b/>
          <w:bCs/>
        </w:rPr>
      </w:pPr>
    </w:p>
    <w:p w14:paraId="603F0F77" w14:textId="14E45BB2" w:rsidR="0067493D" w:rsidRDefault="00564BA7" w:rsidP="0067493D">
      <w:pPr>
        <w:spacing w:line="240" w:lineRule="auto"/>
        <w:rPr>
          <w:b/>
          <w:bCs/>
          <w:u w:val="single"/>
        </w:rPr>
      </w:pPr>
      <w:r>
        <w:rPr>
          <w:b/>
          <w:bCs/>
          <w:u w:val="single"/>
        </w:rPr>
        <w:t xml:space="preserve">Investment </w:t>
      </w:r>
    </w:p>
    <w:p w14:paraId="6E41243D" w14:textId="77777777" w:rsidR="0067493D" w:rsidRDefault="0067493D" w:rsidP="0067493D">
      <w:pPr>
        <w:spacing w:line="240" w:lineRule="auto"/>
      </w:pPr>
      <w:r>
        <w:t xml:space="preserve">Unlike Hybrid RPO, </w:t>
      </w:r>
      <w:proofErr w:type="spellStart"/>
      <w:r>
        <w:t>TAaaS</w:t>
      </w:r>
      <w:proofErr w:type="spellEnd"/>
      <w:r>
        <w:t xml:space="preserve"> is not tied to individual candidate performance. Because it is an investment in the future recruiting strength of the firm, it is best viewed as method for acquiring not only resources, but best practices and experience as well.</w:t>
      </w:r>
    </w:p>
    <w:p w14:paraId="54183A76" w14:textId="54261733" w:rsidR="0067493D" w:rsidRDefault="0067493D" w:rsidP="0067493D">
      <w:pPr>
        <w:spacing w:line="240" w:lineRule="auto"/>
      </w:pPr>
      <w:r>
        <w:t xml:space="preserve">The monthly investment for the </w:t>
      </w:r>
      <w:proofErr w:type="spellStart"/>
      <w:r>
        <w:t>TAaaS</w:t>
      </w:r>
      <w:proofErr w:type="spellEnd"/>
      <w:r>
        <w:t xml:space="preserve"> solution outlined above, tailored to produce 100 new hires by </w:t>
      </w:r>
      <w:r w:rsidR="00331A02">
        <w:t>October</w:t>
      </w:r>
      <w:r>
        <w:t xml:space="preserve"> 2020, is $78,650.00 per month. This rate is inclusive of the various recruiting tools, software, and database management products necessary to deliver at scale. </w:t>
      </w:r>
    </w:p>
    <w:p w14:paraId="33B5EE47" w14:textId="7D9B768D" w:rsidR="00564BA7" w:rsidRPr="00331A02" w:rsidRDefault="00564BA7" w:rsidP="0067493D">
      <w:pPr>
        <w:spacing w:line="240" w:lineRule="auto"/>
        <w:rPr>
          <w:b/>
          <w:bCs/>
        </w:rPr>
      </w:pPr>
      <w:r w:rsidRPr="00331A02">
        <w:rPr>
          <w:b/>
          <w:bCs/>
        </w:rPr>
        <w:t xml:space="preserve">Early Completion </w:t>
      </w:r>
    </w:p>
    <w:p w14:paraId="5B0EF74C" w14:textId="273E4CF8" w:rsidR="005006BF" w:rsidRPr="005006BF" w:rsidRDefault="00564BA7" w:rsidP="00E64550">
      <w:pPr>
        <w:spacing w:line="240" w:lineRule="auto"/>
      </w:pPr>
      <w:r>
        <w:t xml:space="preserve">In recognition of the fact that a project that is billed monthly may not align with Intecrowd’s sense of urgency, we would like to suggest </w:t>
      </w:r>
      <w:r w:rsidR="00331A02">
        <w:t xml:space="preserve">the use of Early Completion Bonus. This would simply state that, should the project needs be met earlier than the anticipated completion date of October 2020, HCD would still receive 50% of the remaining project budget. </w:t>
      </w:r>
    </w:p>
    <w:p w14:paraId="4C502A6B" w14:textId="77777777" w:rsidR="00D32C06" w:rsidRPr="00D32C06" w:rsidRDefault="00D32C06" w:rsidP="00E64550">
      <w:pPr>
        <w:spacing w:line="240" w:lineRule="auto"/>
      </w:pPr>
    </w:p>
    <w:p w14:paraId="3CAB150B" w14:textId="04832530" w:rsidR="00A1147D" w:rsidRPr="00E37290" w:rsidRDefault="00A1147D" w:rsidP="00E64550">
      <w:pPr>
        <w:spacing w:line="240" w:lineRule="auto"/>
        <w:rPr>
          <w:b/>
          <w:bCs/>
          <w:u w:val="single"/>
        </w:rPr>
      </w:pPr>
      <w:r w:rsidRPr="00E37290">
        <w:rPr>
          <w:b/>
          <w:bCs/>
          <w:u w:val="single"/>
        </w:rPr>
        <w:t>Hybrid R</w:t>
      </w:r>
      <w:r w:rsidR="00E37290" w:rsidRPr="00E37290">
        <w:rPr>
          <w:b/>
          <w:bCs/>
          <w:u w:val="single"/>
        </w:rPr>
        <w:t>PO</w:t>
      </w:r>
      <w:r w:rsidRPr="00E37290">
        <w:rPr>
          <w:b/>
          <w:bCs/>
          <w:u w:val="single"/>
        </w:rPr>
        <w:t xml:space="preserve"> vs. RaaS</w:t>
      </w:r>
    </w:p>
    <w:tbl>
      <w:tblPr>
        <w:tblStyle w:val="TableGrid"/>
        <w:tblW w:w="0" w:type="auto"/>
        <w:tblInd w:w="720" w:type="dxa"/>
        <w:tblLook w:val="04A0" w:firstRow="1" w:lastRow="0" w:firstColumn="1" w:lastColumn="0" w:noHBand="0" w:noVBand="1"/>
      </w:tblPr>
      <w:tblGrid>
        <w:gridCol w:w="2884"/>
        <w:gridCol w:w="2860"/>
        <w:gridCol w:w="2886"/>
      </w:tblGrid>
      <w:tr w:rsidR="00D32C06" w14:paraId="3FD063AC" w14:textId="77777777" w:rsidTr="00D32C06">
        <w:tc>
          <w:tcPr>
            <w:tcW w:w="2884" w:type="dxa"/>
          </w:tcPr>
          <w:p w14:paraId="6A3885B8" w14:textId="77777777" w:rsidR="00A1147D" w:rsidRDefault="00A1147D" w:rsidP="00606C2D">
            <w:pPr>
              <w:pStyle w:val="ListParagraph"/>
              <w:ind w:left="0"/>
            </w:pPr>
          </w:p>
        </w:tc>
        <w:tc>
          <w:tcPr>
            <w:tcW w:w="2860" w:type="dxa"/>
          </w:tcPr>
          <w:p w14:paraId="156EE5D9" w14:textId="03805050" w:rsidR="00A1147D" w:rsidRDefault="00A1147D" w:rsidP="00606C2D">
            <w:pPr>
              <w:pStyle w:val="ListParagraph"/>
              <w:ind w:left="0"/>
            </w:pPr>
            <w:r>
              <w:t>Hybrid RaaS</w:t>
            </w:r>
          </w:p>
        </w:tc>
        <w:tc>
          <w:tcPr>
            <w:tcW w:w="2886" w:type="dxa"/>
          </w:tcPr>
          <w:p w14:paraId="5A746EED" w14:textId="3ED7CA34" w:rsidR="00A1147D" w:rsidRDefault="00A1147D" w:rsidP="00606C2D">
            <w:pPr>
              <w:pStyle w:val="ListParagraph"/>
              <w:ind w:left="0"/>
            </w:pPr>
            <w:r>
              <w:t>RaaS</w:t>
            </w:r>
          </w:p>
        </w:tc>
      </w:tr>
      <w:tr w:rsidR="00D32C06" w14:paraId="711F111F" w14:textId="77777777" w:rsidTr="00D32C06">
        <w:tc>
          <w:tcPr>
            <w:tcW w:w="2884" w:type="dxa"/>
          </w:tcPr>
          <w:p w14:paraId="388C94B4" w14:textId="2E72A28B" w:rsidR="00A1147D" w:rsidRDefault="00A1147D" w:rsidP="00606C2D">
            <w:pPr>
              <w:pStyle w:val="ListParagraph"/>
              <w:ind w:left="0"/>
            </w:pPr>
            <w:r>
              <w:t>Dedicated Account Team</w:t>
            </w:r>
          </w:p>
        </w:tc>
        <w:tc>
          <w:tcPr>
            <w:tcW w:w="2860" w:type="dxa"/>
          </w:tcPr>
          <w:p w14:paraId="0431815B" w14:textId="55D837E1" w:rsidR="00A1147D" w:rsidRDefault="00A1147D" w:rsidP="00606C2D">
            <w:pPr>
              <w:pStyle w:val="ListParagraph"/>
              <w:ind w:left="0"/>
            </w:pPr>
            <w:r>
              <w:t xml:space="preserve">1 Account Lead, 2 Sr. Recruiters, 1 </w:t>
            </w:r>
            <w:r w:rsidR="00C87291">
              <w:t>Researcher</w:t>
            </w:r>
            <w:r>
              <w:t xml:space="preserve"> </w:t>
            </w:r>
          </w:p>
        </w:tc>
        <w:tc>
          <w:tcPr>
            <w:tcW w:w="2886" w:type="dxa"/>
          </w:tcPr>
          <w:p w14:paraId="7A3C29DE" w14:textId="793EC9E7" w:rsidR="00A1147D" w:rsidRDefault="00A1147D" w:rsidP="00606C2D">
            <w:pPr>
              <w:pStyle w:val="ListParagraph"/>
              <w:ind w:left="0"/>
            </w:pPr>
            <w:r>
              <w:t xml:space="preserve">1 Account Lead, 1 Delivery Lead, 3 Sr. Recruiters, 2 </w:t>
            </w:r>
            <w:r w:rsidR="00C87291">
              <w:t>Researcher</w:t>
            </w:r>
            <w:r>
              <w:t>s, 1 Account Coordinator</w:t>
            </w:r>
          </w:p>
        </w:tc>
      </w:tr>
      <w:tr w:rsidR="00D32C06" w14:paraId="03194A01" w14:textId="77777777" w:rsidTr="00D32C06">
        <w:tc>
          <w:tcPr>
            <w:tcW w:w="2884" w:type="dxa"/>
          </w:tcPr>
          <w:p w14:paraId="4FE0CC9E" w14:textId="6CEA121D" w:rsidR="00A1147D" w:rsidRDefault="00A1147D" w:rsidP="00606C2D">
            <w:pPr>
              <w:pStyle w:val="ListParagraph"/>
              <w:ind w:left="0"/>
            </w:pPr>
            <w:r>
              <w:t>Timeline to Reach 100 NICs</w:t>
            </w:r>
          </w:p>
        </w:tc>
        <w:tc>
          <w:tcPr>
            <w:tcW w:w="2860" w:type="dxa"/>
          </w:tcPr>
          <w:p w14:paraId="7E16BB10" w14:textId="00FD3ACB" w:rsidR="00A1147D" w:rsidRDefault="00A1147D" w:rsidP="00606C2D">
            <w:pPr>
              <w:pStyle w:val="ListParagraph"/>
              <w:ind w:left="0"/>
            </w:pPr>
            <w:r>
              <w:t>Undefined</w:t>
            </w:r>
            <w:r w:rsidR="00D32C06">
              <w:t>. Subject to internal hiring team pace.</w:t>
            </w:r>
            <w:r>
              <w:t xml:space="preserve"> </w:t>
            </w:r>
          </w:p>
        </w:tc>
        <w:tc>
          <w:tcPr>
            <w:tcW w:w="2886" w:type="dxa"/>
          </w:tcPr>
          <w:p w14:paraId="491343B5" w14:textId="268B0E27" w:rsidR="00A1147D" w:rsidRDefault="00A1147D" w:rsidP="00606C2D">
            <w:pPr>
              <w:pStyle w:val="ListParagraph"/>
              <w:ind w:left="0"/>
            </w:pPr>
            <w:r>
              <w:t>10 Months</w:t>
            </w:r>
          </w:p>
        </w:tc>
      </w:tr>
      <w:tr w:rsidR="00D32C06" w14:paraId="3294B29E" w14:textId="77777777" w:rsidTr="00D32C06">
        <w:tc>
          <w:tcPr>
            <w:tcW w:w="2884" w:type="dxa"/>
          </w:tcPr>
          <w:p w14:paraId="7C38B445" w14:textId="6BB915DA" w:rsidR="00A1147D" w:rsidRDefault="00A1147D" w:rsidP="00606C2D">
            <w:pPr>
              <w:pStyle w:val="ListParagraph"/>
              <w:ind w:left="0"/>
            </w:pPr>
            <w:r>
              <w:t xml:space="preserve">Investment </w:t>
            </w:r>
          </w:p>
        </w:tc>
        <w:tc>
          <w:tcPr>
            <w:tcW w:w="2860" w:type="dxa"/>
          </w:tcPr>
          <w:p w14:paraId="2668A5D8" w14:textId="0161CFE8" w:rsidR="00A1147D" w:rsidRDefault="00A1147D" w:rsidP="00606C2D">
            <w:pPr>
              <w:pStyle w:val="ListParagraph"/>
              <w:ind w:left="0"/>
            </w:pPr>
            <w:r>
              <w:t>Flu</w:t>
            </w:r>
            <w:r w:rsidR="00D32C06">
              <w:t>ct</w:t>
            </w:r>
            <w:r>
              <w:t>uates with each offer. Higher salary = higher success fee</w:t>
            </w:r>
            <w:r w:rsidR="00D32C06">
              <w:t>. 10% of salary</w:t>
            </w:r>
          </w:p>
        </w:tc>
        <w:tc>
          <w:tcPr>
            <w:tcW w:w="2886" w:type="dxa"/>
          </w:tcPr>
          <w:p w14:paraId="17AF13BB" w14:textId="13909C8B" w:rsidR="00A1147D" w:rsidRDefault="00A1147D" w:rsidP="00606C2D">
            <w:pPr>
              <w:pStyle w:val="ListParagraph"/>
              <w:ind w:left="0"/>
            </w:pPr>
            <w:r>
              <w:t xml:space="preserve">Steady, monthly investment </w:t>
            </w:r>
          </w:p>
        </w:tc>
      </w:tr>
      <w:tr w:rsidR="00D32C06" w14:paraId="1C81F217" w14:textId="77777777" w:rsidTr="00D32C06">
        <w:tc>
          <w:tcPr>
            <w:tcW w:w="2884" w:type="dxa"/>
          </w:tcPr>
          <w:p w14:paraId="0D952E65" w14:textId="0D3364F3" w:rsidR="00A1147D" w:rsidRDefault="00A1147D" w:rsidP="00606C2D">
            <w:pPr>
              <w:pStyle w:val="ListParagraph"/>
              <w:ind w:left="0"/>
            </w:pPr>
            <w:r>
              <w:t>Replacement Candidate Guarantee</w:t>
            </w:r>
          </w:p>
        </w:tc>
        <w:tc>
          <w:tcPr>
            <w:tcW w:w="2860" w:type="dxa"/>
          </w:tcPr>
          <w:p w14:paraId="2F2187BF" w14:textId="7E289DE4" w:rsidR="00A1147D" w:rsidRDefault="00A1147D" w:rsidP="00606C2D">
            <w:pPr>
              <w:pStyle w:val="ListParagraph"/>
              <w:ind w:left="0"/>
            </w:pPr>
            <w:r>
              <w:t xml:space="preserve">120 days </w:t>
            </w:r>
          </w:p>
        </w:tc>
        <w:tc>
          <w:tcPr>
            <w:tcW w:w="2886" w:type="dxa"/>
          </w:tcPr>
          <w:p w14:paraId="346186ED" w14:textId="623564CE" w:rsidR="00A1147D" w:rsidRDefault="00A1147D" w:rsidP="00606C2D">
            <w:pPr>
              <w:pStyle w:val="ListParagraph"/>
              <w:ind w:left="0"/>
            </w:pPr>
            <w:r>
              <w:t>100% candidate replacement for the life of the engagement.</w:t>
            </w:r>
          </w:p>
        </w:tc>
      </w:tr>
      <w:tr w:rsidR="00D32C06" w14:paraId="408B5F55" w14:textId="77777777" w:rsidTr="00D32C06">
        <w:tc>
          <w:tcPr>
            <w:tcW w:w="2884" w:type="dxa"/>
          </w:tcPr>
          <w:p w14:paraId="4031147A" w14:textId="2EA3FB49" w:rsidR="00A1147D" w:rsidRDefault="00A1147D" w:rsidP="00606C2D">
            <w:pPr>
              <w:pStyle w:val="ListParagraph"/>
              <w:ind w:left="0"/>
            </w:pPr>
            <w:r>
              <w:t>Ownership of final database</w:t>
            </w:r>
          </w:p>
        </w:tc>
        <w:tc>
          <w:tcPr>
            <w:tcW w:w="2860" w:type="dxa"/>
          </w:tcPr>
          <w:p w14:paraId="35EB6809" w14:textId="5C269F50" w:rsidR="00A1147D" w:rsidRDefault="00A1147D" w:rsidP="00606C2D">
            <w:pPr>
              <w:pStyle w:val="ListParagraph"/>
              <w:ind w:left="0"/>
            </w:pPr>
            <w:r>
              <w:t xml:space="preserve">Candidates owned exclusively by HCD </w:t>
            </w:r>
          </w:p>
        </w:tc>
        <w:tc>
          <w:tcPr>
            <w:tcW w:w="2886" w:type="dxa"/>
          </w:tcPr>
          <w:p w14:paraId="2302E156" w14:textId="72637CB5" w:rsidR="00A1147D" w:rsidRDefault="00A1147D" w:rsidP="00606C2D">
            <w:pPr>
              <w:pStyle w:val="ListParagraph"/>
              <w:ind w:left="0"/>
            </w:pPr>
            <w:r>
              <w:t xml:space="preserve">Candidate information stored within Intecrowd database </w:t>
            </w:r>
          </w:p>
        </w:tc>
      </w:tr>
      <w:tr w:rsidR="00D32C06" w14:paraId="7725161C" w14:textId="77777777" w:rsidTr="00D32C06">
        <w:tc>
          <w:tcPr>
            <w:tcW w:w="2884" w:type="dxa"/>
          </w:tcPr>
          <w:p w14:paraId="3DD51778" w14:textId="1D6F27A6" w:rsidR="00A1147D" w:rsidRDefault="00A1147D" w:rsidP="00606C2D">
            <w:pPr>
              <w:pStyle w:val="ListParagraph"/>
              <w:ind w:left="0"/>
            </w:pPr>
            <w:r>
              <w:t>Candidate Experience Consulting</w:t>
            </w:r>
          </w:p>
        </w:tc>
        <w:tc>
          <w:tcPr>
            <w:tcW w:w="2860" w:type="dxa"/>
          </w:tcPr>
          <w:p w14:paraId="32F23D66" w14:textId="3EC0ABEF" w:rsidR="00A1147D" w:rsidRDefault="00A1147D" w:rsidP="00606C2D">
            <w:pPr>
              <w:pStyle w:val="ListParagraph"/>
              <w:ind w:left="0"/>
            </w:pPr>
            <w:r>
              <w:t>N/A</w:t>
            </w:r>
          </w:p>
        </w:tc>
        <w:tc>
          <w:tcPr>
            <w:tcW w:w="2886" w:type="dxa"/>
          </w:tcPr>
          <w:p w14:paraId="122A2DA0" w14:textId="4D4BEA85" w:rsidR="00A1147D" w:rsidRDefault="00A1147D" w:rsidP="00606C2D">
            <w:pPr>
              <w:pStyle w:val="ListParagraph"/>
              <w:ind w:left="0"/>
            </w:pPr>
            <w:r>
              <w:t>Candidate experience assessment, online reputation management</w:t>
            </w:r>
          </w:p>
        </w:tc>
      </w:tr>
      <w:tr w:rsidR="00D32C06" w14:paraId="0C7C2EED" w14:textId="77777777" w:rsidTr="00D32C06">
        <w:tc>
          <w:tcPr>
            <w:tcW w:w="2884" w:type="dxa"/>
          </w:tcPr>
          <w:p w14:paraId="7B142C9A" w14:textId="452E9589" w:rsidR="00D32C06" w:rsidRDefault="00331A02" w:rsidP="00606C2D">
            <w:pPr>
              <w:pStyle w:val="ListParagraph"/>
              <w:ind w:left="0"/>
            </w:pPr>
            <w:r>
              <w:t xml:space="preserve">Financial Interest Alignment </w:t>
            </w:r>
          </w:p>
        </w:tc>
        <w:tc>
          <w:tcPr>
            <w:tcW w:w="2860" w:type="dxa"/>
          </w:tcPr>
          <w:p w14:paraId="4FFFF9E5" w14:textId="77777777" w:rsidR="00D32C06" w:rsidRDefault="00D32C06" w:rsidP="00606C2D">
            <w:pPr>
              <w:pStyle w:val="ListParagraph"/>
              <w:ind w:left="0"/>
            </w:pPr>
          </w:p>
        </w:tc>
        <w:tc>
          <w:tcPr>
            <w:tcW w:w="2886" w:type="dxa"/>
          </w:tcPr>
          <w:p w14:paraId="2A229A0A" w14:textId="69EBFBA8" w:rsidR="00D32C06" w:rsidRDefault="00331A02" w:rsidP="00606C2D">
            <w:pPr>
              <w:pStyle w:val="ListParagraph"/>
              <w:ind w:left="0"/>
            </w:pPr>
            <w:r>
              <w:t>Early Completion Bonus</w:t>
            </w:r>
          </w:p>
        </w:tc>
      </w:tr>
    </w:tbl>
    <w:p w14:paraId="6A9085E1" w14:textId="5454DAB7" w:rsidR="00A1147D" w:rsidRDefault="00A1147D" w:rsidP="00606C2D">
      <w:pPr>
        <w:pStyle w:val="ListParagraph"/>
        <w:spacing w:line="240" w:lineRule="auto"/>
      </w:pPr>
    </w:p>
    <w:p w14:paraId="56577A7E" w14:textId="49097D1F" w:rsidR="00331A02" w:rsidRPr="00331A02" w:rsidRDefault="00331A02" w:rsidP="00606C2D">
      <w:pPr>
        <w:pStyle w:val="ListParagraph"/>
        <w:spacing w:line="240" w:lineRule="auto"/>
        <w:rPr>
          <w:b/>
          <w:bCs/>
        </w:rPr>
      </w:pPr>
    </w:p>
    <w:p w14:paraId="40A1051F" w14:textId="633F961F" w:rsidR="00A1147D" w:rsidRPr="008B5EFD" w:rsidRDefault="008B5EFD" w:rsidP="008B5EFD">
      <w:pPr>
        <w:spacing w:line="240" w:lineRule="auto"/>
        <w:rPr>
          <w:b/>
          <w:bCs/>
          <w:u w:val="single"/>
        </w:rPr>
      </w:pPr>
      <w:r w:rsidRPr="008B5EFD">
        <w:rPr>
          <w:b/>
          <w:bCs/>
          <w:u w:val="single"/>
        </w:rPr>
        <w:lastRenderedPageBreak/>
        <w:t>Conclusion</w:t>
      </w:r>
    </w:p>
    <w:p w14:paraId="196F0CB0" w14:textId="54468537" w:rsidR="008B5EFD" w:rsidRDefault="008B5EFD" w:rsidP="008B5EFD">
      <w:pPr>
        <w:spacing w:line="240" w:lineRule="auto"/>
      </w:pPr>
    </w:p>
    <w:p w14:paraId="3071818C" w14:textId="6E488CEF" w:rsidR="008B5EFD" w:rsidRPr="008B5EFD" w:rsidRDefault="008B5EFD" w:rsidP="008B5EFD">
      <w:pPr>
        <w:spacing w:line="240" w:lineRule="auto"/>
        <w:rPr>
          <w:b/>
          <w:bCs/>
          <w:u w:val="single"/>
        </w:rPr>
      </w:pPr>
      <w:r w:rsidRPr="008B5EFD">
        <w:rPr>
          <w:b/>
          <w:bCs/>
          <w:u w:val="single"/>
        </w:rPr>
        <w:t>Contact Information</w:t>
      </w:r>
    </w:p>
    <w:p w14:paraId="7053A708" w14:textId="011D3325" w:rsidR="008B5EFD" w:rsidRDefault="008B5EFD" w:rsidP="008B5EFD">
      <w:pPr>
        <w:spacing w:line="240" w:lineRule="auto"/>
        <w:contextualSpacing/>
      </w:pPr>
      <w:r>
        <w:t>Andrew Plofchan</w:t>
      </w:r>
    </w:p>
    <w:p w14:paraId="583FB6B5" w14:textId="05AEB8CD" w:rsidR="008B5EFD" w:rsidRDefault="008B5EFD" w:rsidP="008B5EFD">
      <w:pPr>
        <w:spacing w:line="240" w:lineRule="auto"/>
        <w:contextualSpacing/>
      </w:pPr>
      <w:r>
        <w:t>Founder &amp; CEO</w:t>
      </w:r>
    </w:p>
    <w:p w14:paraId="1AF431AB" w14:textId="0963E7F2" w:rsidR="008B5EFD" w:rsidRDefault="008B5EFD" w:rsidP="008B5EFD">
      <w:pPr>
        <w:spacing w:line="240" w:lineRule="auto"/>
        <w:contextualSpacing/>
      </w:pPr>
      <w:r>
        <w:t>HCD Technology</w:t>
      </w:r>
    </w:p>
    <w:p w14:paraId="58C5DDAB" w14:textId="15B1CDF6" w:rsidR="008B5EFD" w:rsidRDefault="008B5EFD" w:rsidP="008B5EFD">
      <w:pPr>
        <w:spacing w:line="240" w:lineRule="auto"/>
        <w:contextualSpacing/>
      </w:pPr>
      <w:r>
        <w:t>Cell: 571-334-5067</w:t>
      </w:r>
    </w:p>
    <w:p w14:paraId="61370678" w14:textId="08366FC3" w:rsidR="008B5EFD" w:rsidRDefault="008B5EFD" w:rsidP="008B5EFD">
      <w:pPr>
        <w:spacing w:line="240" w:lineRule="auto"/>
        <w:contextualSpacing/>
      </w:pPr>
      <w:r>
        <w:t xml:space="preserve">Email: </w:t>
      </w:r>
      <w:proofErr w:type="spellStart"/>
      <w:r>
        <w:t>andrew@hcd.technology</w:t>
      </w:r>
      <w:proofErr w:type="spellEnd"/>
    </w:p>
    <w:bookmarkEnd w:id="0"/>
    <w:p w14:paraId="25845AD1" w14:textId="77777777" w:rsidR="00A1147D" w:rsidRDefault="00A1147D" w:rsidP="00606C2D">
      <w:pPr>
        <w:spacing w:line="240" w:lineRule="auto"/>
        <w:jc w:val="center"/>
        <w:rPr>
          <w:b/>
          <w:bCs/>
          <w:u w:val="single"/>
        </w:rPr>
      </w:pPr>
    </w:p>
    <w:sectPr w:rsidR="00A1147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0907CC"/>
    <w:multiLevelType w:val="hybridMultilevel"/>
    <w:tmpl w:val="427889B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417922"/>
    <w:multiLevelType w:val="hybridMultilevel"/>
    <w:tmpl w:val="F9942A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6E1E88"/>
    <w:multiLevelType w:val="hybridMultilevel"/>
    <w:tmpl w:val="047AFC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35753A"/>
    <w:multiLevelType w:val="multilevel"/>
    <w:tmpl w:val="E202EE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1995B84"/>
    <w:multiLevelType w:val="hybridMultilevel"/>
    <w:tmpl w:val="62B09A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C192ED0"/>
    <w:multiLevelType w:val="hybridMultilevel"/>
    <w:tmpl w:val="5A3AD1D6"/>
    <w:lvl w:ilvl="0" w:tplc="0409000F">
      <w:start w:val="1"/>
      <w:numFmt w:val="decimal"/>
      <w:lvlText w:val="%1."/>
      <w:lvlJc w:val="left"/>
      <w:pPr>
        <w:ind w:left="773" w:hanging="360"/>
      </w:pPr>
    </w:lvl>
    <w:lvl w:ilvl="1" w:tplc="04090019" w:tentative="1">
      <w:start w:val="1"/>
      <w:numFmt w:val="lowerLetter"/>
      <w:lvlText w:val="%2."/>
      <w:lvlJc w:val="left"/>
      <w:pPr>
        <w:ind w:left="1493" w:hanging="360"/>
      </w:pPr>
    </w:lvl>
    <w:lvl w:ilvl="2" w:tplc="0409001B" w:tentative="1">
      <w:start w:val="1"/>
      <w:numFmt w:val="lowerRoman"/>
      <w:lvlText w:val="%3."/>
      <w:lvlJc w:val="right"/>
      <w:pPr>
        <w:ind w:left="2213" w:hanging="180"/>
      </w:pPr>
    </w:lvl>
    <w:lvl w:ilvl="3" w:tplc="0409000F" w:tentative="1">
      <w:start w:val="1"/>
      <w:numFmt w:val="decimal"/>
      <w:lvlText w:val="%4."/>
      <w:lvlJc w:val="left"/>
      <w:pPr>
        <w:ind w:left="2933" w:hanging="360"/>
      </w:pPr>
    </w:lvl>
    <w:lvl w:ilvl="4" w:tplc="04090019" w:tentative="1">
      <w:start w:val="1"/>
      <w:numFmt w:val="lowerLetter"/>
      <w:lvlText w:val="%5."/>
      <w:lvlJc w:val="left"/>
      <w:pPr>
        <w:ind w:left="3653" w:hanging="360"/>
      </w:pPr>
    </w:lvl>
    <w:lvl w:ilvl="5" w:tplc="0409001B" w:tentative="1">
      <w:start w:val="1"/>
      <w:numFmt w:val="lowerRoman"/>
      <w:lvlText w:val="%6."/>
      <w:lvlJc w:val="right"/>
      <w:pPr>
        <w:ind w:left="4373" w:hanging="180"/>
      </w:pPr>
    </w:lvl>
    <w:lvl w:ilvl="6" w:tplc="0409000F" w:tentative="1">
      <w:start w:val="1"/>
      <w:numFmt w:val="decimal"/>
      <w:lvlText w:val="%7."/>
      <w:lvlJc w:val="left"/>
      <w:pPr>
        <w:ind w:left="5093" w:hanging="360"/>
      </w:pPr>
    </w:lvl>
    <w:lvl w:ilvl="7" w:tplc="04090019" w:tentative="1">
      <w:start w:val="1"/>
      <w:numFmt w:val="lowerLetter"/>
      <w:lvlText w:val="%8."/>
      <w:lvlJc w:val="left"/>
      <w:pPr>
        <w:ind w:left="5813" w:hanging="360"/>
      </w:pPr>
    </w:lvl>
    <w:lvl w:ilvl="8" w:tplc="0409001B" w:tentative="1">
      <w:start w:val="1"/>
      <w:numFmt w:val="lowerRoman"/>
      <w:lvlText w:val="%9."/>
      <w:lvlJc w:val="right"/>
      <w:pPr>
        <w:ind w:left="6533" w:hanging="180"/>
      </w:pPr>
    </w:lvl>
  </w:abstractNum>
  <w:abstractNum w:abstractNumId="6" w15:restartNumberingAfterBreak="0">
    <w:nsid w:val="5D7B759D"/>
    <w:multiLevelType w:val="hybridMultilevel"/>
    <w:tmpl w:val="CB3AE6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8F10E23"/>
    <w:multiLevelType w:val="hybridMultilevel"/>
    <w:tmpl w:val="EDF8E7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4"/>
  </w:num>
  <w:num w:numId="4">
    <w:abstractNumId w:val="5"/>
  </w:num>
  <w:num w:numId="5">
    <w:abstractNumId w:val="0"/>
  </w:num>
  <w:num w:numId="6">
    <w:abstractNumId w:val="6"/>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25D8"/>
    <w:rsid w:val="00044182"/>
    <w:rsid w:val="00074A9F"/>
    <w:rsid w:val="0010471F"/>
    <w:rsid w:val="00150E5C"/>
    <w:rsid w:val="00180B34"/>
    <w:rsid w:val="001E234D"/>
    <w:rsid w:val="00245C17"/>
    <w:rsid w:val="00252707"/>
    <w:rsid w:val="002E0FF8"/>
    <w:rsid w:val="00305956"/>
    <w:rsid w:val="00321A48"/>
    <w:rsid w:val="00331A02"/>
    <w:rsid w:val="003850F2"/>
    <w:rsid w:val="003A25D8"/>
    <w:rsid w:val="003D04F1"/>
    <w:rsid w:val="003D1193"/>
    <w:rsid w:val="003E5BF1"/>
    <w:rsid w:val="004113AA"/>
    <w:rsid w:val="0045517A"/>
    <w:rsid w:val="005006BF"/>
    <w:rsid w:val="00564BA7"/>
    <w:rsid w:val="00570E09"/>
    <w:rsid w:val="00606C2D"/>
    <w:rsid w:val="0067493D"/>
    <w:rsid w:val="006C39C8"/>
    <w:rsid w:val="007003D6"/>
    <w:rsid w:val="00787109"/>
    <w:rsid w:val="008231EB"/>
    <w:rsid w:val="00827647"/>
    <w:rsid w:val="00863E15"/>
    <w:rsid w:val="008B5EFD"/>
    <w:rsid w:val="008B6ECA"/>
    <w:rsid w:val="00941C85"/>
    <w:rsid w:val="009D03AF"/>
    <w:rsid w:val="009E103A"/>
    <w:rsid w:val="00A1147D"/>
    <w:rsid w:val="00A21871"/>
    <w:rsid w:val="00A51046"/>
    <w:rsid w:val="00A9049B"/>
    <w:rsid w:val="00AA4F31"/>
    <w:rsid w:val="00AF2C54"/>
    <w:rsid w:val="00BB4F1C"/>
    <w:rsid w:val="00C5628B"/>
    <w:rsid w:val="00C87291"/>
    <w:rsid w:val="00CF2498"/>
    <w:rsid w:val="00D32C06"/>
    <w:rsid w:val="00D71B40"/>
    <w:rsid w:val="00E37290"/>
    <w:rsid w:val="00E60212"/>
    <w:rsid w:val="00E64550"/>
    <w:rsid w:val="00FB35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4969C8"/>
  <w15:chartTrackingRefBased/>
  <w15:docId w15:val="{1F1BC89B-C3C4-4561-B879-011698DF8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A25D8"/>
    <w:pPr>
      <w:ind w:left="720"/>
      <w:contextualSpacing/>
    </w:pPr>
  </w:style>
  <w:style w:type="table" w:styleId="TableGrid">
    <w:name w:val="Table Grid"/>
    <w:basedOn w:val="TableNormal"/>
    <w:uiPriority w:val="39"/>
    <w:rsid w:val="009D03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E0FF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9079838">
      <w:bodyDiv w:val="1"/>
      <w:marLeft w:val="0"/>
      <w:marRight w:val="0"/>
      <w:marTop w:val="0"/>
      <w:marBottom w:val="0"/>
      <w:divBdr>
        <w:top w:val="none" w:sz="0" w:space="0" w:color="auto"/>
        <w:left w:val="none" w:sz="0" w:space="0" w:color="auto"/>
        <w:bottom w:val="none" w:sz="0" w:space="0" w:color="auto"/>
        <w:right w:val="none" w:sz="0" w:space="0" w:color="auto"/>
      </w:divBdr>
    </w:div>
    <w:div w:id="680011709">
      <w:bodyDiv w:val="1"/>
      <w:marLeft w:val="0"/>
      <w:marRight w:val="0"/>
      <w:marTop w:val="0"/>
      <w:marBottom w:val="0"/>
      <w:divBdr>
        <w:top w:val="none" w:sz="0" w:space="0" w:color="auto"/>
        <w:left w:val="none" w:sz="0" w:space="0" w:color="auto"/>
        <w:bottom w:val="none" w:sz="0" w:space="0" w:color="auto"/>
        <w:right w:val="none" w:sz="0" w:space="0" w:color="auto"/>
      </w:divBdr>
    </w:div>
    <w:div w:id="944187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3319</Words>
  <Characters>18921</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Plofchan</dc:creator>
  <cp:keywords/>
  <dc:description/>
  <cp:lastModifiedBy>Andrew Plofchan</cp:lastModifiedBy>
  <cp:revision>2</cp:revision>
  <dcterms:created xsi:type="dcterms:W3CDTF">2019-10-16T12:47:00Z</dcterms:created>
  <dcterms:modified xsi:type="dcterms:W3CDTF">2019-10-16T12:47:00Z</dcterms:modified>
</cp:coreProperties>
</file>