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638550" cy="857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www.storehousemi.org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/ 4411 Plainfield Ave NE, GR, MI 49525 / (616)855-1700 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The StoreHouse vision is to connect resources for at risk populations through nonprofits and businesses.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2016 The StoreHouse launched the Essentials &amp; Teacher Resources Stores as well as the Warehouse with $150,000 in donated goods and a budget of $15,000.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2018 our budget reached an all time high of $40,000.  With that, we were able to make 3 part-time hires and serve over 70 non-profits and 30 schools.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Lives impacted to date totals </w:t>
      </w:r>
      <w:r w:rsidDel="00000000" w:rsidR="00000000" w:rsidRPr="00000000">
        <w:rPr>
          <w:b w:val="1"/>
          <w:sz w:val="24"/>
          <w:szCs w:val="24"/>
          <w:rtl w:val="0"/>
        </w:rPr>
        <w:t xml:space="preserve">nearly 200,000 adults and children, distributing almost 5 million dollars in total goods.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StoreHouse a</w:t>
      </w:r>
      <w:r w:rsidDel="00000000" w:rsidR="00000000" w:rsidRPr="00000000">
        <w:rPr>
          <w:sz w:val="24"/>
          <w:szCs w:val="24"/>
          <w:rtl w:val="0"/>
        </w:rPr>
        <w:t xml:space="preserve">reas of impact include low income schools, foster care, housing, addiction recovery, prison re-entry, teen pregnancy, healthcare, domestic abuse recovery and refugee services.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Ways to get involved: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Connect us to product resources (hygiene, school supplies, household goods)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Connect us to nonprofits to support training and mentoring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Connect us to businesses looking for social impact footprint or new employees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Donate time or funds </w:t>
      </w:r>
    </w:p>
    <w:p w:rsidR="00000000" w:rsidDel="00000000" w:rsidP="00000000" w:rsidRDefault="00000000" w:rsidRPr="00000000" w14:paraId="00000010">
      <w:pPr>
        <w:ind w:left="216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get involved in any way or with any questions, please call, email, or visit our website for more information!</w:t>
        <w:tab/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Jessica Johns, Executive Director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22222"/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director@storehousemi.org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Ph. 616.855.1700</w:t>
      </w:r>
    </w:p>
    <w:p w:rsidR="00000000" w:rsidDel="00000000" w:rsidP="00000000" w:rsidRDefault="00000000" w:rsidRPr="00000000" w14:paraId="00000017">
      <w:pPr>
        <w:rPr>
          <w:color w:val="222222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www.storehousemi.org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facebook.com/Storehousemi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orehousemi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storehousemi.org" TargetMode="External"/><Relationship Id="rId8" Type="http://schemas.openxmlformats.org/officeDocument/2006/relationships/hyperlink" Target="mailto:director@storehouse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