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93D" w:rsidRPr="0083493D" w:rsidRDefault="00C26D84" w:rsidP="0083493D">
      <w:pPr>
        <w:rPr>
          <w:b/>
        </w:rPr>
      </w:pPr>
      <w:r w:rsidRPr="0083493D">
        <w:rPr>
          <w:b/>
        </w:rPr>
        <w:t>WHO WE ARE</w:t>
      </w:r>
    </w:p>
    <w:p w:rsidR="0083493D" w:rsidRPr="0083493D" w:rsidRDefault="0083493D" w:rsidP="0083493D">
      <w:pPr>
        <w:jc w:val="both"/>
      </w:pPr>
      <w:r w:rsidRPr="0083493D">
        <w:t>5</w:t>
      </w:r>
      <w:r w:rsidRPr="0083493D">
        <w:rPr>
          <w:vertAlign w:val="superscript"/>
        </w:rPr>
        <w:t>th</w:t>
      </w:r>
      <w:r w:rsidRPr="0083493D">
        <w:t xml:space="preserve"> Street Advisors is a privately owned </w:t>
      </w:r>
      <w:r w:rsidR="003761E6">
        <w:t xml:space="preserve">independent </w:t>
      </w:r>
      <w:r w:rsidRPr="0083493D">
        <w:t>wealth management firm and SEC Registered Investment Advisor. Founded in 2006 as a boutique advisory for successful individuals and families who desire a better solution than the mass market financial services offered by big banks and brokerage houses, 5</w:t>
      </w:r>
      <w:r w:rsidRPr="0083493D">
        <w:rPr>
          <w:vertAlign w:val="superscript"/>
        </w:rPr>
        <w:t>th</w:t>
      </w:r>
      <w:r w:rsidRPr="0083493D">
        <w:t xml:space="preserve"> Street’s approach</w:t>
      </w:r>
      <w:r w:rsidR="00C26D84">
        <w:t xml:space="preserve"> </w:t>
      </w:r>
      <w:r w:rsidRPr="0083493D">
        <w:t xml:space="preserve">is client-centric, comprehensive, and unbiased. </w:t>
      </w:r>
    </w:p>
    <w:p w:rsidR="0083493D" w:rsidRPr="0083493D" w:rsidRDefault="0083493D" w:rsidP="0083493D">
      <w:pPr>
        <w:jc w:val="both"/>
      </w:pPr>
    </w:p>
    <w:p w:rsidR="0083493D" w:rsidRPr="0083493D" w:rsidRDefault="0083493D" w:rsidP="0083493D">
      <w:pPr>
        <w:jc w:val="both"/>
      </w:pPr>
    </w:p>
    <w:p w:rsidR="0083493D" w:rsidRPr="0083493D" w:rsidRDefault="0083493D" w:rsidP="0083493D">
      <w:pPr>
        <w:jc w:val="both"/>
      </w:pPr>
      <w:r w:rsidRPr="0083493D">
        <w:t xml:space="preserve">TRUST IN INDEPENDENCE. </w:t>
      </w:r>
    </w:p>
    <w:p w:rsidR="0083493D" w:rsidRPr="0083493D" w:rsidRDefault="0083493D" w:rsidP="0083493D">
      <w:pPr>
        <w:jc w:val="both"/>
      </w:pPr>
      <w:r w:rsidRPr="0083493D">
        <w:t xml:space="preserve">As an SEC Registered Investment Advisor (RIA), 5th Street is a “fiduciary,” meaning that we are legally obligated to act in the best interest of our clients.  However, our commitment to the values of trust and loyalty underlying the concept of a fiduciary extends beyond our registered status. As a privately owned firm, we operate completely independent of any bank, broker-dealer, insurance company, or custodian. Consequently, in providing investment advice, we do not accept or receive any sales commissions or 12b1 fees, and are not under pressure to cross-sell internal financial products. Simply put, we’ve made a choice to eliminate conflicts of interest from our advisory relationships. We like it this way, and we think our clients do too. </w:t>
      </w:r>
    </w:p>
    <w:p w:rsidR="0083493D" w:rsidRDefault="0083493D" w:rsidP="00BD59EF">
      <w:pPr>
        <w:rPr>
          <w:b/>
        </w:rPr>
      </w:pPr>
    </w:p>
    <w:p w:rsidR="0083493D" w:rsidRDefault="0083493D">
      <w:pPr>
        <w:rPr>
          <w:b/>
        </w:rPr>
      </w:pPr>
      <w:r>
        <w:rPr>
          <w:b/>
        </w:rPr>
        <w:br w:type="page"/>
      </w:r>
    </w:p>
    <w:p w:rsidR="00C26D84" w:rsidRDefault="00C26D84" w:rsidP="00BD59EF">
      <w:pPr>
        <w:rPr>
          <w:b/>
        </w:rPr>
      </w:pPr>
      <w:r>
        <w:rPr>
          <w:b/>
        </w:rPr>
        <w:lastRenderedPageBreak/>
        <w:t xml:space="preserve">WHAT WE DO </w:t>
      </w:r>
    </w:p>
    <w:p w:rsidR="00BD59EF" w:rsidRPr="00BD59EF" w:rsidRDefault="00BD59EF" w:rsidP="00BD59EF">
      <w:pPr>
        <w:rPr>
          <w:b/>
          <w:u w:val="single"/>
        </w:rPr>
      </w:pPr>
      <w:r w:rsidRPr="00BD59EF">
        <w:rPr>
          <w:b/>
          <w:u w:val="single"/>
        </w:rPr>
        <w:t>INVESTMENT MANAGEMENT</w:t>
      </w:r>
    </w:p>
    <w:p w:rsidR="00BD59EF" w:rsidRPr="00BD59EF" w:rsidRDefault="00BD59EF" w:rsidP="004379BA">
      <w:pPr>
        <w:jc w:val="both"/>
        <w:rPr>
          <w:i/>
        </w:rPr>
      </w:pPr>
      <w:r w:rsidRPr="00BD59EF">
        <w:rPr>
          <w:i/>
        </w:rPr>
        <w:t>Your long term goals may never change, but the markets, the economy, and the world will. As an investor, this means your expectations of risk and return associated with different types of investments must change accordingly.</w:t>
      </w:r>
    </w:p>
    <w:p w:rsidR="004379BA" w:rsidRDefault="00BD59EF" w:rsidP="004379BA">
      <w:pPr>
        <w:jc w:val="both"/>
        <w:sectPr w:rsidR="004379BA">
          <w:pgSz w:w="12240" w:h="15840"/>
          <w:pgMar w:top="1440" w:right="1440" w:bottom="1440" w:left="1440" w:header="720" w:footer="720" w:gutter="0"/>
          <w:cols w:space="720"/>
          <w:docGrid w:linePitch="360"/>
        </w:sectPr>
      </w:pPr>
      <w:r w:rsidRPr="00BD59EF">
        <w:t xml:space="preserve">At 5th Street Advisors, we leverage </w:t>
      </w:r>
      <w:r w:rsidR="0087159D">
        <w:t xml:space="preserve">our diverse </w:t>
      </w:r>
      <w:r w:rsidRPr="00BD59EF">
        <w:t>experience in banking, trading, and wealth management to employ a pragmatic, disciplined investment strateg</w:t>
      </w:r>
      <w:r w:rsidR="0087159D">
        <w:t>y tailored to your specific needs.</w:t>
      </w:r>
      <w:r w:rsidR="004379BA">
        <w:t xml:space="preserve"> </w:t>
      </w:r>
      <w:r w:rsidRPr="00BD59EF">
        <w:t xml:space="preserve">Our portfolios are globally diversified, designed to provide liquidity, tax efficiency, and, over the long run, level returns consistent with prudent investment management and each client’s individual goals and risk tolerance. </w:t>
      </w:r>
    </w:p>
    <w:p w:rsidR="00BD59EF" w:rsidRDefault="00BD59EF" w:rsidP="004379BA">
      <w:pPr>
        <w:jc w:val="both"/>
      </w:pPr>
    </w:p>
    <w:p w:rsidR="004379BA" w:rsidRPr="00BD59EF" w:rsidRDefault="004379BA" w:rsidP="004379BA">
      <w:pPr>
        <w:jc w:val="both"/>
      </w:pPr>
    </w:p>
    <w:p w:rsidR="00BD59EF" w:rsidRDefault="004379BA">
      <w:r>
        <w:rPr>
          <w:noProof/>
        </w:rPr>
        <w:drawing>
          <wp:inline distT="0" distB="0" distL="0" distR="0" wp14:anchorId="7D49BA23" wp14:editId="1076C0D0">
            <wp:extent cx="6301740" cy="3337560"/>
            <wp:effectExtent l="0" t="0" r="0" b="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4379BA" w:rsidRDefault="004379BA">
      <w:pPr>
        <w:sectPr w:rsidR="004379BA" w:rsidSect="004379BA">
          <w:type w:val="continuous"/>
          <w:pgSz w:w="12240" w:h="15840"/>
          <w:pgMar w:top="1440" w:right="1440" w:bottom="1440" w:left="1440" w:header="720" w:footer="720" w:gutter="0"/>
          <w:cols w:space="720"/>
          <w:docGrid w:linePitch="360"/>
        </w:sectPr>
      </w:pPr>
    </w:p>
    <w:p w:rsidR="00BD59EF" w:rsidRDefault="00BD59EF"/>
    <w:p w:rsidR="00BD59EF" w:rsidRDefault="00BD59EF"/>
    <w:p w:rsidR="00BD59EF" w:rsidRDefault="00BD59EF">
      <w:r>
        <w:br w:type="page"/>
      </w:r>
    </w:p>
    <w:p w:rsidR="007F6BB0" w:rsidRDefault="007F6BB0">
      <w:pPr>
        <w:rPr>
          <w:b/>
        </w:rPr>
      </w:pPr>
    </w:p>
    <w:p w:rsidR="007F6BB0" w:rsidRDefault="007F6BB0">
      <w:r w:rsidRPr="007F6BB0">
        <w:t xml:space="preserve">We offer </w:t>
      </w:r>
      <w:r>
        <w:t>f</w:t>
      </w:r>
      <w:r w:rsidR="00013EFC">
        <w:t>our</w:t>
      </w:r>
      <w:r>
        <w:t xml:space="preserve"> market risk levels to accommodate investors with different risk preferences encompassing comprehensive coverage of global equity and fixed income markets. Unlike single asset funds that are simple to benchmark, asset allocation funds have unique properties that make benchmarking complex. To that end we subscribe to benchmarking provided by the Morningstar Target Risk Index family designed to meet the needs of investors</w:t>
      </w:r>
      <w:r w:rsidR="00013EFC">
        <w:t xml:space="preserve"> by offering and objective yardstick for performance comparison.</w:t>
      </w:r>
    </w:p>
    <w:p w:rsidR="00341045" w:rsidRPr="007F6BB0" w:rsidRDefault="00341045">
      <w:r>
        <w:t xml:space="preserve">We often we inherit existing portfolios with legacy positions based on sentimental value and/or large taxable gains. We will work with you to preserve your legacy position within the context of the </w:t>
      </w:r>
      <w:r w:rsidR="00B40283">
        <w:t xml:space="preserve">chosen appropriate </w:t>
      </w:r>
      <w:r>
        <w:t xml:space="preserve">risk model to meet your long term objectives and risk profile.  </w:t>
      </w:r>
    </w:p>
    <w:p w:rsidR="007F6BB0" w:rsidRDefault="00341045">
      <w:pPr>
        <w:rPr>
          <w:b/>
        </w:rPr>
      </w:pPr>
      <w:r>
        <w:t>The four market risk models and their corresponding indices cover equity risk preferences ranging from conservative to aggressive</w:t>
      </w:r>
    </w:p>
    <w:p w:rsidR="007F6BB0" w:rsidRDefault="007F6BB0">
      <w:pPr>
        <w:rPr>
          <w:b/>
        </w:rPr>
      </w:pPr>
    </w:p>
    <w:p w:rsidR="006B0C70" w:rsidRDefault="000D2D7C">
      <w:r>
        <w:rPr>
          <w:noProof/>
        </w:rPr>
        <mc:AlternateContent>
          <mc:Choice Requires="wps">
            <w:drawing>
              <wp:anchor distT="0" distB="0" distL="114300" distR="114300" simplePos="0" relativeHeight="251659264" behindDoc="0" locked="0" layoutInCell="1" allowOverlap="1" wp14:anchorId="7CF9BFA2" wp14:editId="1439A9E8">
                <wp:simplePos x="0" y="0"/>
                <wp:positionH relativeFrom="column">
                  <wp:posOffset>2301240</wp:posOffset>
                </wp:positionH>
                <wp:positionV relativeFrom="paragraph">
                  <wp:posOffset>83820</wp:posOffset>
                </wp:positionV>
                <wp:extent cx="3870960" cy="1403985"/>
                <wp:effectExtent l="0" t="0" r="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0960" cy="1403985"/>
                        </a:xfrm>
                        <a:prstGeom prst="rect">
                          <a:avLst/>
                        </a:prstGeom>
                        <a:solidFill>
                          <a:srgbClr val="FFFFFF"/>
                        </a:solidFill>
                        <a:ln w="9525">
                          <a:noFill/>
                          <a:miter lim="800000"/>
                          <a:headEnd/>
                          <a:tailEnd/>
                        </a:ln>
                      </wps:spPr>
                      <wps:txbx>
                        <w:txbxContent>
                          <w:p w:rsidR="000D2D7C" w:rsidRDefault="00BD59EF" w:rsidP="000D2D7C">
                            <w:pPr>
                              <w:jc w:val="both"/>
                              <w:rPr>
                                <w:i/>
                              </w:rPr>
                            </w:pPr>
                            <w:r>
                              <w:rPr>
                                <w:i/>
                              </w:rPr>
                              <w:t>A portfolio focused on</w:t>
                            </w:r>
                            <w:r w:rsidRPr="000D2D7C">
                              <w:rPr>
                                <w:i/>
                              </w:rPr>
                              <w:t xml:space="preserve"> fixed income</w:t>
                            </w:r>
                            <w:r>
                              <w:t xml:space="preserve">, </w:t>
                            </w:r>
                            <w:r>
                              <w:rPr>
                                <w:i/>
                              </w:rPr>
                              <w:t>a</w:t>
                            </w:r>
                            <w:r w:rsidR="000D2D7C" w:rsidRPr="000D2D7C">
                              <w:rPr>
                                <w:i/>
                              </w:rPr>
                              <w:t xml:space="preserve">ppropriate for </w:t>
                            </w:r>
                            <w:r w:rsidR="000D2D7C">
                              <w:rPr>
                                <w:i/>
                              </w:rPr>
                              <w:t>investors</w:t>
                            </w:r>
                            <w:r w:rsidR="000D2D7C" w:rsidRPr="000D2D7C">
                              <w:rPr>
                                <w:i/>
                              </w:rPr>
                              <w:t xml:space="preserve"> adve</w:t>
                            </w:r>
                            <w:r w:rsidR="000D2D7C">
                              <w:rPr>
                                <w:i/>
                              </w:rPr>
                              <w:t xml:space="preserve">rse to short-term loss </w:t>
                            </w:r>
                            <w:r w:rsidR="000D2D7C" w:rsidRPr="000D2D7C">
                              <w:rPr>
                                <w:i/>
                              </w:rPr>
                              <w:t xml:space="preserve">and who can accept only slight fluctuations in portfolio value. </w:t>
                            </w:r>
                            <w:r w:rsidR="00013EFC">
                              <w:rPr>
                                <w:i/>
                              </w:rPr>
                              <w:t>Typically 20% in equity and 80% in fixed income and equivalents.</w:t>
                            </w:r>
                          </w:p>
                          <w:p w:rsidR="00013EFC" w:rsidRPr="00013EFC" w:rsidRDefault="00013EFC" w:rsidP="000D2D7C">
                            <w:pPr>
                              <w:jc w:val="both"/>
                              <w:rPr>
                                <w:i/>
                              </w:rPr>
                            </w:pPr>
                            <w:r>
                              <w:rPr>
                                <w:i/>
                              </w:rPr>
                              <w:t>Benchmark</w:t>
                            </w:r>
                            <w:r w:rsidRPr="00013EFC">
                              <w:rPr>
                                <w:i/>
                              </w:rPr>
                              <w:t>: Morningstar Conservative Allocation Index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1.2pt;margin-top:6.6pt;width:304.8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" stroked="f">
                <v:textbox style="mso-fit-shape-to-text:t">
                  <w:txbxContent>
                    <w:p w:rsidR="000D2D7C" w:rsidRDefault="00BD59EF" w:rsidP="000D2D7C">
                      <w:pPr>
                        <w:jc w:val="both"/>
                        <w:rPr>
                          <w:i/>
                        </w:rPr>
                      </w:pPr>
                      <w:r>
                        <w:rPr>
                          <w:i/>
                        </w:rPr>
                        <w:t>A portfolio focused on</w:t>
                      </w:r>
                      <w:r w:rsidRPr="000D2D7C">
                        <w:rPr>
                          <w:i/>
                        </w:rPr>
                        <w:t xml:space="preserve"> fixed income</w:t>
                      </w:r>
                      <w:r>
                        <w:t xml:space="preserve">, </w:t>
                      </w:r>
                      <w:r>
                        <w:rPr>
                          <w:i/>
                        </w:rPr>
                        <w:t>a</w:t>
                      </w:r>
                      <w:r w:rsidR="000D2D7C" w:rsidRPr="000D2D7C">
                        <w:rPr>
                          <w:i/>
                        </w:rPr>
                        <w:t xml:space="preserve">ppropriate for </w:t>
                      </w:r>
                      <w:r w:rsidR="000D2D7C">
                        <w:rPr>
                          <w:i/>
                        </w:rPr>
                        <w:t>investors</w:t>
                      </w:r>
                      <w:r w:rsidR="000D2D7C" w:rsidRPr="000D2D7C">
                        <w:rPr>
                          <w:i/>
                        </w:rPr>
                        <w:t xml:space="preserve"> adve</w:t>
                      </w:r>
                      <w:r w:rsidR="000D2D7C">
                        <w:rPr>
                          <w:i/>
                        </w:rPr>
                        <w:t xml:space="preserve">rse to short-term loss </w:t>
                      </w:r>
                      <w:r w:rsidR="000D2D7C" w:rsidRPr="000D2D7C">
                        <w:rPr>
                          <w:i/>
                        </w:rPr>
                        <w:t xml:space="preserve">and who can accept only slight fluctuations in portfolio value. </w:t>
                      </w:r>
                      <w:r w:rsidR="00013EFC">
                        <w:rPr>
                          <w:i/>
                        </w:rPr>
                        <w:t>Typically 20% in equity and 80% in fixed income and equivalents.</w:t>
                      </w:r>
                    </w:p>
                    <w:p w:rsidR="00013EFC" w:rsidRPr="00013EFC" w:rsidRDefault="00013EFC" w:rsidP="000D2D7C">
                      <w:pPr>
                        <w:jc w:val="both"/>
                        <w:rPr>
                          <w:i/>
                        </w:rPr>
                      </w:pPr>
                      <w:r>
                        <w:rPr>
                          <w:i/>
                        </w:rPr>
                        <w:t>Benchmark</w:t>
                      </w:r>
                      <w:r w:rsidRPr="00013EFC">
                        <w:rPr>
                          <w:i/>
                        </w:rPr>
                        <w:t>: Morningstar Conservative Allocation Index</w:t>
                      </w:r>
                    </w:p>
                  </w:txbxContent>
                </v:textbox>
              </v:shape>
            </w:pict>
          </mc:Fallback>
        </mc:AlternateContent>
      </w:r>
      <w:r>
        <w:rPr>
          <w:noProof/>
        </w:rPr>
        <w:drawing>
          <wp:inline distT="0" distB="0" distL="0" distR="0" wp14:anchorId="0337ED18" wp14:editId="138F73F5">
            <wp:extent cx="2004060" cy="1539240"/>
            <wp:effectExtent l="0" t="0" r="15240" b="2286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D2D7C" w:rsidRDefault="000D2D7C"/>
    <w:p w:rsidR="000D2D7C" w:rsidRDefault="000D2D7C">
      <w:pPr>
        <w:sectPr w:rsidR="000D2D7C" w:rsidSect="004379BA">
          <w:type w:val="continuous"/>
          <w:pgSz w:w="12240" w:h="15840"/>
          <w:pgMar w:top="1440" w:right="1440" w:bottom="1440" w:left="1440" w:header="720" w:footer="720" w:gutter="0"/>
          <w:cols w:space="720"/>
          <w:docGrid w:linePitch="360"/>
        </w:sectPr>
      </w:pPr>
    </w:p>
    <w:p w:rsidR="000D2D7C" w:rsidRDefault="000D2D7C">
      <w:r>
        <w:rPr>
          <w:noProof/>
        </w:rPr>
        <w:lastRenderedPageBreak/>
        <mc:AlternateContent>
          <mc:Choice Requires="wps">
            <w:drawing>
              <wp:anchor distT="0" distB="0" distL="114300" distR="114300" simplePos="0" relativeHeight="251661312" behindDoc="0" locked="0" layoutInCell="1" allowOverlap="1" wp14:anchorId="3646520B" wp14:editId="42C651A1">
                <wp:simplePos x="0" y="0"/>
                <wp:positionH relativeFrom="column">
                  <wp:posOffset>2461260</wp:posOffset>
                </wp:positionH>
                <wp:positionV relativeFrom="paragraph">
                  <wp:posOffset>43180</wp:posOffset>
                </wp:positionV>
                <wp:extent cx="3710940" cy="1348740"/>
                <wp:effectExtent l="0" t="0" r="22860" b="2286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0940" cy="1348740"/>
                        </a:xfrm>
                        <a:prstGeom prst="rect">
                          <a:avLst/>
                        </a:prstGeom>
                        <a:solidFill>
                          <a:srgbClr val="FFFFFF"/>
                        </a:solidFill>
                        <a:ln w="9525">
                          <a:solidFill>
                            <a:srgbClr val="000000"/>
                          </a:solidFill>
                          <a:miter lim="800000"/>
                          <a:headEnd/>
                          <a:tailEnd/>
                        </a:ln>
                      </wps:spPr>
                      <wps:txbx>
                        <w:txbxContent>
                          <w:p w:rsidR="000D2D7C" w:rsidRDefault="000D2D7C" w:rsidP="00BD59EF">
                            <w:pPr>
                              <w:jc w:val="both"/>
                            </w:pPr>
                            <w:proofErr w:type="gramStart"/>
                            <w:r w:rsidRPr="00BD59EF">
                              <w:rPr>
                                <w:i/>
                              </w:rPr>
                              <w:t xml:space="preserve">A portfolio with a primary goal of capital preservation and </w:t>
                            </w:r>
                            <w:r w:rsidR="00341045">
                              <w:rPr>
                                <w:i/>
                              </w:rPr>
                              <w:t xml:space="preserve">the </w:t>
                            </w:r>
                            <w:r w:rsidRPr="00BD59EF">
                              <w:rPr>
                                <w:i/>
                              </w:rPr>
                              <w:t>secondary goal of capital growth</w:t>
                            </w:r>
                            <w:r w:rsidR="00BD59EF" w:rsidRPr="00BD59EF">
                              <w:rPr>
                                <w:i/>
                              </w:rPr>
                              <w:t>, a</w:t>
                            </w:r>
                            <w:r w:rsidRPr="00BD59EF">
                              <w:rPr>
                                <w:i/>
                              </w:rPr>
                              <w:t xml:space="preserve">ppropriate for investors </w:t>
                            </w:r>
                            <w:r w:rsidR="00BD59EF" w:rsidRPr="00BD59EF">
                              <w:rPr>
                                <w:i/>
                              </w:rPr>
                              <w:t xml:space="preserve">seeking some growth but </w:t>
                            </w:r>
                            <w:r w:rsidRPr="00BD59EF">
                              <w:rPr>
                                <w:i/>
                              </w:rPr>
                              <w:t xml:space="preserve">willing to accept </w:t>
                            </w:r>
                            <w:r w:rsidR="00BD59EF" w:rsidRPr="00BD59EF">
                              <w:rPr>
                                <w:i/>
                              </w:rPr>
                              <w:t xml:space="preserve">only </w:t>
                            </w:r>
                            <w:r w:rsidR="00341045">
                              <w:rPr>
                                <w:i/>
                              </w:rPr>
                              <w:t>l</w:t>
                            </w:r>
                            <w:r w:rsidRPr="00BD59EF">
                              <w:rPr>
                                <w:i/>
                              </w:rPr>
                              <w:t>ow level</w:t>
                            </w:r>
                            <w:r w:rsidR="00BD59EF" w:rsidRPr="00BD59EF">
                              <w:rPr>
                                <w:i/>
                              </w:rPr>
                              <w:t>s</w:t>
                            </w:r>
                            <w:r w:rsidRPr="00BD59EF">
                              <w:rPr>
                                <w:i/>
                              </w:rPr>
                              <w:t xml:space="preserve"> of fluctuation in portfolio value</w:t>
                            </w:r>
                            <w:r>
                              <w:t>.</w:t>
                            </w:r>
                            <w:proofErr w:type="gramEnd"/>
                            <w:r>
                              <w:t xml:space="preserve"> </w:t>
                            </w:r>
                            <w:r w:rsidR="00013EFC">
                              <w:t xml:space="preserve"> Typically 40% in equity and 60% in fixed income and equivalents.</w:t>
                            </w:r>
                          </w:p>
                          <w:p w:rsidR="00013EFC" w:rsidRPr="00013EFC" w:rsidRDefault="00013EFC" w:rsidP="00BD59EF">
                            <w:pPr>
                              <w:jc w:val="both"/>
                              <w:rPr>
                                <w:i/>
                              </w:rPr>
                            </w:pPr>
                            <w:r>
                              <w:rPr>
                                <w:i/>
                              </w:rPr>
                              <w:t>Benchmark</w:t>
                            </w:r>
                            <w:r w:rsidRPr="00013EFC">
                              <w:rPr>
                                <w:i/>
                              </w:rPr>
                              <w:t xml:space="preserve">: Morningstar </w:t>
                            </w:r>
                            <w:proofErr w:type="spellStart"/>
                            <w:r w:rsidRPr="00013EFC">
                              <w:rPr>
                                <w:i/>
                              </w:rPr>
                              <w:t>Moderatly</w:t>
                            </w:r>
                            <w:proofErr w:type="spellEnd"/>
                            <w:r w:rsidRPr="00013EFC">
                              <w:rPr>
                                <w:i/>
                              </w:rPr>
                              <w:t xml:space="preserve"> Conservative Allocation</w:t>
                            </w:r>
                          </w:p>
                          <w:p w:rsidR="000D2D7C" w:rsidRDefault="000D2D7C" w:rsidP="000D2D7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93.8pt;margin-top:3.4pt;width:292.2pt;height:10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">
                <v:textbox>
                  <w:txbxContent>
                    <w:p w:rsidR="000D2D7C" w:rsidRDefault="000D2D7C" w:rsidP="00BD59EF">
                      <w:pPr>
                        <w:jc w:val="both"/>
                      </w:pPr>
                      <w:proofErr w:type="gramStart"/>
                      <w:r w:rsidRPr="00BD59EF">
                        <w:rPr>
                          <w:i/>
                        </w:rPr>
                        <w:t xml:space="preserve">A portfolio with a primary goal of capital preservation and </w:t>
                      </w:r>
                      <w:r w:rsidR="00341045">
                        <w:rPr>
                          <w:i/>
                        </w:rPr>
                        <w:t xml:space="preserve">the </w:t>
                      </w:r>
                      <w:r w:rsidRPr="00BD59EF">
                        <w:rPr>
                          <w:i/>
                        </w:rPr>
                        <w:t>secondary goal of capital growth</w:t>
                      </w:r>
                      <w:r w:rsidR="00BD59EF" w:rsidRPr="00BD59EF">
                        <w:rPr>
                          <w:i/>
                        </w:rPr>
                        <w:t>, a</w:t>
                      </w:r>
                      <w:r w:rsidRPr="00BD59EF">
                        <w:rPr>
                          <w:i/>
                        </w:rPr>
                        <w:t xml:space="preserve">ppropriate for investors </w:t>
                      </w:r>
                      <w:r w:rsidR="00BD59EF" w:rsidRPr="00BD59EF">
                        <w:rPr>
                          <w:i/>
                        </w:rPr>
                        <w:t xml:space="preserve">seeking some growth but </w:t>
                      </w:r>
                      <w:r w:rsidRPr="00BD59EF">
                        <w:rPr>
                          <w:i/>
                        </w:rPr>
                        <w:t xml:space="preserve">willing to accept </w:t>
                      </w:r>
                      <w:r w:rsidR="00BD59EF" w:rsidRPr="00BD59EF">
                        <w:rPr>
                          <w:i/>
                        </w:rPr>
                        <w:t xml:space="preserve">only </w:t>
                      </w:r>
                      <w:r w:rsidR="00341045">
                        <w:rPr>
                          <w:i/>
                        </w:rPr>
                        <w:t>l</w:t>
                      </w:r>
                      <w:r w:rsidRPr="00BD59EF">
                        <w:rPr>
                          <w:i/>
                        </w:rPr>
                        <w:t>ow level</w:t>
                      </w:r>
                      <w:r w:rsidR="00BD59EF" w:rsidRPr="00BD59EF">
                        <w:rPr>
                          <w:i/>
                        </w:rPr>
                        <w:t>s</w:t>
                      </w:r>
                      <w:r w:rsidRPr="00BD59EF">
                        <w:rPr>
                          <w:i/>
                        </w:rPr>
                        <w:t xml:space="preserve"> of fluctuation in portfolio value</w:t>
                      </w:r>
                      <w:r>
                        <w:t>.</w:t>
                      </w:r>
                      <w:proofErr w:type="gramEnd"/>
                      <w:r>
                        <w:t xml:space="preserve"> </w:t>
                      </w:r>
                      <w:r w:rsidR="00013EFC">
                        <w:t xml:space="preserve"> Typically 40% in equity and 60% in fixed income and equivalents.</w:t>
                      </w:r>
                    </w:p>
                    <w:p w:rsidR="00013EFC" w:rsidRPr="00013EFC" w:rsidRDefault="00013EFC" w:rsidP="00BD59EF">
                      <w:pPr>
                        <w:jc w:val="both"/>
                        <w:rPr>
                          <w:i/>
                        </w:rPr>
                      </w:pPr>
                      <w:r>
                        <w:rPr>
                          <w:i/>
                        </w:rPr>
                        <w:t>Benchmark</w:t>
                      </w:r>
                      <w:r w:rsidRPr="00013EFC">
                        <w:rPr>
                          <w:i/>
                        </w:rPr>
                        <w:t xml:space="preserve">: Morningstar </w:t>
                      </w:r>
                      <w:proofErr w:type="spellStart"/>
                      <w:r w:rsidRPr="00013EFC">
                        <w:rPr>
                          <w:i/>
                        </w:rPr>
                        <w:t>Moderatly</w:t>
                      </w:r>
                      <w:proofErr w:type="spellEnd"/>
                      <w:r w:rsidRPr="00013EFC">
                        <w:rPr>
                          <w:i/>
                        </w:rPr>
                        <w:t xml:space="preserve"> Conservative Allocation</w:t>
                      </w:r>
                    </w:p>
                    <w:p w:rsidR="000D2D7C" w:rsidRDefault="000D2D7C" w:rsidP="000D2D7C"/>
                  </w:txbxContent>
                </v:textbox>
              </v:shape>
            </w:pict>
          </mc:Fallback>
        </mc:AlternateContent>
      </w:r>
      <w:r>
        <w:rPr>
          <w:noProof/>
        </w:rPr>
        <w:drawing>
          <wp:inline distT="0" distB="0" distL="0" distR="0" wp14:anchorId="179FF3F3" wp14:editId="6E5E649A">
            <wp:extent cx="2133600" cy="1584960"/>
            <wp:effectExtent l="0" t="0" r="19050" b="1524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D2D7C" w:rsidRDefault="000D2D7C">
      <w:pPr>
        <w:sectPr w:rsidR="000D2D7C" w:rsidSect="000D2D7C">
          <w:type w:val="continuous"/>
          <w:pgSz w:w="12240" w:h="15840"/>
          <w:pgMar w:top="1440" w:right="1440" w:bottom="1440" w:left="1440" w:header="720" w:footer="720" w:gutter="0"/>
          <w:cols w:space="720"/>
          <w:docGrid w:linePitch="360"/>
        </w:sectPr>
      </w:pPr>
    </w:p>
    <w:p w:rsidR="000D2D7C" w:rsidRDefault="00BD59EF">
      <w:pPr>
        <w:sectPr w:rsidR="000D2D7C" w:rsidSect="000D2D7C">
          <w:type w:val="continuous"/>
          <w:pgSz w:w="12240" w:h="15840"/>
          <w:pgMar w:top="1440" w:right="1440" w:bottom="1440" w:left="1440" w:header="720" w:footer="720" w:gutter="0"/>
          <w:cols w:space="720"/>
          <w:docGrid w:linePitch="360"/>
        </w:sectPr>
      </w:pPr>
      <w:r>
        <w:rPr>
          <w:noProof/>
        </w:rPr>
        <w:lastRenderedPageBreak/>
        <mc:AlternateContent>
          <mc:Choice Requires="wps">
            <w:drawing>
              <wp:anchor distT="0" distB="0" distL="114300" distR="114300" simplePos="0" relativeHeight="251663360" behindDoc="0" locked="0" layoutInCell="1" allowOverlap="1" wp14:editId="36B11C9B">
                <wp:simplePos x="0" y="0"/>
                <wp:positionH relativeFrom="column">
                  <wp:posOffset>2461260</wp:posOffset>
                </wp:positionH>
                <wp:positionV relativeFrom="paragraph">
                  <wp:posOffset>65405</wp:posOffset>
                </wp:positionV>
                <wp:extent cx="3520440" cy="1403985"/>
                <wp:effectExtent l="0" t="0" r="22860" b="1714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1403985"/>
                        </a:xfrm>
                        <a:prstGeom prst="rect">
                          <a:avLst/>
                        </a:prstGeom>
                        <a:solidFill>
                          <a:srgbClr val="FFFFFF"/>
                        </a:solidFill>
                        <a:ln w="9525">
                          <a:solidFill>
                            <a:srgbClr val="000000"/>
                          </a:solidFill>
                          <a:miter lim="800000"/>
                          <a:headEnd/>
                          <a:tailEnd/>
                        </a:ln>
                      </wps:spPr>
                      <wps:txbx>
                        <w:txbxContent>
                          <w:p w:rsidR="00BD59EF" w:rsidRPr="00013EFC" w:rsidRDefault="00BD59EF" w:rsidP="00BD59EF">
                            <w:pPr>
                              <w:jc w:val="both"/>
                              <w:rPr>
                                <w:i/>
                              </w:rPr>
                            </w:pPr>
                            <w:proofErr w:type="gramStart"/>
                            <w:r w:rsidRPr="00013EFC">
                              <w:rPr>
                                <w:i/>
                              </w:rPr>
                              <w:t>A portfolio with a primary goal of capital growth and secondary goal of capital preservation, appropriate for investors willing to accept a moderate level of fluctuation in portfolio value in exchange for greater growth.</w:t>
                            </w:r>
                            <w:proofErr w:type="gramEnd"/>
                            <w:r w:rsidR="00013EFC" w:rsidRPr="00013EFC">
                              <w:rPr>
                                <w:i/>
                              </w:rPr>
                              <w:t xml:space="preserve"> Typically 60% equity and 40% fixed income and equivalents.</w:t>
                            </w:r>
                          </w:p>
                          <w:p w:rsidR="00013EFC" w:rsidRPr="00013EFC" w:rsidRDefault="00013EFC" w:rsidP="00BD59EF">
                            <w:pPr>
                              <w:jc w:val="both"/>
                              <w:rPr>
                                <w:i/>
                              </w:rPr>
                            </w:pPr>
                            <w:r>
                              <w:rPr>
                                <w:i/>
                              </w:rPr>
                              <w:t>Benchmark: Morningstar Moderate Index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93.8pt;margin-top:5.15pt;width:277.2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">
                <v:textbox style="mso-fit-shape-to-text:t">
                  <w:txbxContent>
                    <w:p w:rsidR="00BD59EF" w:rsidRPr="00013EFC" w:rsidRDefault="00BD59EF" w:rsidP="00BD59EF">
                      <w:pPr>
                        <w:jc w:val="both"/>
                        <w:rPr>
                          <w:i/>
                        </w:rPr>
                      </w:pPr>
                      <w:proofErr w:type="gramStart"/>
                      <w:r w:rsidRPr="00013EFC">
                        <w:rPr>
                          <w:i/>
                        </w:rPr>
                        <w:t>A portfolio with a primary goal of capital growth and secondary goal of capital preservation, appropriate for investors willing to accept a moderate level of fluctuation in portfolio value in exchange for greater growth.</w:t>
                      </w:r>
                      <w:proofErr w:type="gramEnd"/>
                      <w:r w:rsidR="00013EFC" w:rsidRPr="00013EFC">
                        <w:rPr>
                          <w:i/>
                        </w:rPr>
                        <w:t xml:space="preserve"> Typically 60% equity and 40% fixed income and equivalents.</w:t>
                      </w:r>
                    </w:p>
                    <w:p w:rsidR="00013EFC" w:rsidRPr="00013EFC" w:rsidRDefault="00013EFC" w:rsidP="00BD59EF">
                      <w:pPr>
                        <w:jc w:val="both"/>
                        <w:rPr>
                          <w:i/>
                        </w:rPr>
                      </w:pPr>
                      <w:r>
                        <w:rPr>
                          <w:i/>
                        </w:rPr>
                        <w:t>Benchmark: Morningstar Moderate Index</w:t>
                      </w:r>
                    </w:p>
                  </w:txbxContent>
                </v:textbox>
              </v:shape>
            </w:pict>
          </mc:Fallback>
        </mc:AlternateContent>
      </w:r>
      <w:r w:rsidR="000D2D7C">
        <w:rPr>
          <w:noProof/>
        </w:rPr>
        <w:drawing>
          <wp:inline distT="0" distB="0" distL="0" distR="0" wp14:anchorId="4D4B9F13" wp14:editId="69ACEFF6">
            <wp:extent cx="2240280" cy="1859280"/>
            <wp:effectExtent l="0" t="0" r="26670" b="2667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D59EF" w:rsidRDefault="00BD59EF">
      <w:r>
        <w:rPr>
          <w:noProof/>
        </w:rPr>
        <w:lastRenderedPageBreak/>
        <mc:AlternateContent>
          <mc:Choice Requires="wps">
            <w:drawing>
              <wp:anchor distT="0" distB="0" distL="114300" distR="114300" simplePos="0" relativeHeight="251664384" behindDoc="0" locked="0" layoutInCell="1" allowOverlap="1">
                <wp:simplePos x="0" y="0"/>
                <wp:positionH relativeFrom="column">
                  <wp:posOffset>2461260</wp:posOffset>
                </wp:positionH>
                <wp:positionV relativeFrom="paragraph">
                  <wp:posOffset>251460</wp:posOffset>
                </wp:positionV>
                <wp:extent cx="3337560" cy="1691640"/>
                <wp:effectExtent l="0" t="0" r="15240" b="22860"/>
                <wp:wrapNone/>
                <wp:docPr id="8" name="Text Box 8"/>
                <wp:cNvGraphicFramePr/>
                <a:graphic xmlns:a="http://schemas.openxmlformats.org/drawingml/2006/main">
                  <a:graphicData uri="http://schemas.microsoft.com/office/word/2010/wordprocessingShape">
                    <wps:wsp>
                      <wps:cNvSpPr txBox="1"/>
                      <wps:spPr>
                        <a:xfrm>
                          <a:off x="0" y="0"/>
                          <a:ext cx="3337560" cy="16916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13EFC" w:rsidRDefault="00BD59EF" w:rsidP="00BD59EF">
                            <w:pPr>
                              <w:jc w:val="both"/>
                            </w:pPr>
                            <w:r w:rsidRPr="00BD59EF">
                              <w:rPr>
                                <w:i/>
                              </w:rPr>
                              <w:t>A portfolio with an objective of capital growth, app</w:t>
                            </w:r>
                            <w:r w:rsidR="00013EFC">
                              <w:rPr>
                                <w:i/>
                              </w:rPr>
                              <w:t>ropriate for investors m</w:t>
                            </w:r>
                            <w:r w:rsidRPr="00BD59EF">
                              <w:rPr>
                                <w:i/>
                              </w:rPr>
                              <w:t>odestly concerned with the level of fluctuation in their portfolio and longer term investment horizons</w:t>
                            </w:r>
                            <w:r>
                              <w:t xml:space="preserve">.  </w:t>
                            </w:r>
                            <w:r w:rsidR="00013EFC">
                              <w:t>Typically 80% equity and 20% fixed income.</w:t>
                            </w:r>
                          </w:p>
                          <w:p w:rsidR="00013EFC" w:rsidRPr="00013EFC" w:rsidRDefault="00013EFC" w:rsidP="00BD59EF">
                            <w:pPr>
                              <w:jc w:val="both"/>
                              <w:rPr>
                                <w:i/>
                              </w:rPr>
                            </w:pPr>
                            <w:r>
                              <w:rPr>
                                <w:i/>
                              </w:rPr>
                              <w:t>Benchmark: Morningstar Moderately Aggressive Index</w:t>
                            </w:r>
                          </w:p>
                          <w:p w:rsidR="00BD59EF" w:rsidRDefault="00013EFC" w:rsidP="00BD59EF">
                            <w:pPr>
                              <w:jc w:val="both"/>
                            </w:pPr>
                            <w:r>
                              <w:t xml:space="preserve"> </w:t>
                            </w:r>
                          </w:p>
                          <w:p w:rsidR="00BD59EF" w:rsidRDefault="00BD59EF" w:rsidP="00BD59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29" type="#_x0000_t202" style="position:absolute;margin-left:193.8pt;margin-top:19.8pt;width:262.8pt;height:133.2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" fillcolor="white [3201]" strokeweight=".5pt">
                <v:textbox>
                  <w:txbxContent>
                    <w:p w:rsidR="00013EFC" w:rsidRDefault="00BD59EF" w:rsidP="00BD59EF">
                      <w:pPr>
                        <w:jc w:val="both"/>
                      </w:pPr>
                      <w:r w:rsidRPr="00BD59EF">
                        <w:rPr>
                          <w:i/>
                        </w:rPr>
                        <w:t>A portfolio with an objective of capital growth, app</w:t>
                      </w:r>
                      <w:r w:rsidR="00013EFC">
                        <w:rPr>
                          <w:i/>
                        </w:rPr>
                        <w:t>ropriate for investors m</w:t>
                      </w:r>
                      <w:r w:rsidRPr="00BD59EF">
                        <w:rPr>
                          <w:i/>
                        </w:rPr>
                        <w:t>odestly concerned with the level of fluctuation in their portfolio and longer term investment horizons</w:t>
                      </w:r>
                      <w:r>
                        <w:t xml:space="preserve">.  </w:t>
                      </w:r>
                      <w:r w:rsidR="00013EFC">
                        <w:t>Typically 80% equity and 20% fixed income.</w:t>
                      </w:r>
                    </w:p>
                    <w:p w:rsidR="00013EFC" w:rsidRPr="00013EFC" w:rsidRDefault="00013EFC" w:rsidP="00BD59EF">
                      <w:pPr>
                        <w:jc w:val="both"/>
                        <w:rPr>
                          <w:i/>
                        </w:rPr>
                      </w:pPr>
                      <w:r>
                        <w:rPr>
                          <w:i/>
                        </w:rPr>
                        <w:t>Benchmark: Morningstar Moderately Aggressive Index</w:t>
                      </w:r>
                    </w:p>
                    <w:p w:rsidR="00BD59EF" w:rsidRDefault="00013EFC" w:rsidP="00BD59EF">
                      <w:pPr>
                        <w:jc w:val="both"/>
                      </w:pPr>
                      <w:r>
                        <w:t xml:space="preserve"> </w:t>
                      </w:r>
                    </w:p>
                    <w:p w:rsidR="00BD59EF" w:rsidRDefault="00BD59EF" w:rsidP="00BD59EF"/>
                  </w:txbxContent>
                </v:textbox>
              </v:shape>
            </w:pict>
          </mc:Fallback>
        </mc:AlternateContent>
      </w:r>
      <w:r w:rsidR="000D2D7C">
        <w:rPr>
          <w:noProof/>
        </w:rPr>
        <w:drawing>
          <wp:inline distT="0" distB="0" distL="0" distR="0" wp14:anchorId="625BCA3E" wp14:editId="704CA879">
            <wp:extent cx="2004060" cy="1790700"/>
            <wp:effectExtent l="0" t="0" r="15240" b="190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341045" w:rsidRDefault="00341045" w:rsidP="00C26D84">
      <w:pPr>
        <w:rPr>
          <w:b/>
        </w:rPr>
      </w:pPr>
    </w:p>
    <w:p w:rsidR="00C26D84" w:rsidRPr="00C26D84" w:rsidRDefault="00C26D84" w:rsidP="00C26D84">
      <w:pPr>
        <w:rPr>
          <w:b/>
        </w:rPr>
      </w:pPr>
      <w:r w:rsidRPr="00C26D84">
        <w:rPr>
          <w:b/>
        </w:rPr>
        <w:t xml:space="preserve">FINANCIAL PLANNING </w:t>
      </w:r>
    </w:p>
    <w:p w:rsidR="00C26D84" w:rsidRPr="00C26D84" w:rsidRDefault="00C26D84" w:rsidP="00C26D84">
      <w:pPr>
        <w:rPr>
          <w:b/>
        </w:rPr>
      </w:pPr>
      <w:r w:rsidRPr="00C26D84">
        <w:rPr>
          <w:b/>
        </w:rPr>
        <w:t xml:space="preserve">Comprehensive Financial Assessments </w:t>
      </w:r>
    </w:p>
    <w:p w:rsidR="00F72979" w:rsidRDefault="00C26D84" w:rsidP="00C26D84">
      <w:pPr>
        <w:jc w:val="both"/>
        <w:rPr>
          <w:i/>
        </w:rPr>
      </w:pPr>
      <w:r w:rsidRPr="00C26D84">
        <w:rPr>
          <w:i/>
        </w:rPr>
        <w:t>Serious financial planning is a highly valuable, though often neglected exercise used to examine one’s financial condition and plan for the future. Through a hands-on, collaborative process, our single engagement financial assessments are designed to shine a light on the fine details of your financial condition and provide analysis and strategic recommendations to set you on the path towards financial independence and security</w:t>
      </w:r>
      <w:r w:rsidR="007A640B">
        <w:rPr>
          <w:i/>
        </w:rPr>
        <w:t>. In short financial planning takes away the guesswork out of managing your finances and helps you understand the implications of e</w:t>
      </w:r>
      <w:r w:rsidR="00F72979">
        <w:rPr>
          <w:i/>
        </w:rPr>
        <w:t xml:space="preserve">ach financial decision you make. </w:t>
      </w:r>
    </w:p>
    <w:p w:rsidR="000D2D7C" w:rsidRDefault="00F72979" w:rsidP="00C26D84">
      <w:pPr>
        <w:jc w:val="both"/>
        <w:rPr>
          <w:i/>
        </w:rPr>
      </w:pPr>
      <w:r>
        <w:rPr>
          <w:i/>
        </w:rPr>
        <w:t xml:space="preserve">The idea is to protect what you own, plan for life objectives, prioritize goals, and </w:t>
      </w:r>
      <w:r w:rsidR="006D629A">
        <w:rPr>
          <w:i/>
        </w:rPr>
        <w:t xml:space="preserve">eventually </w:t>
      </w:r>
      <w:r>
        <w:rPr>
          <w:i/>
        </w:rPr>
        <w:t xml:space="preserve">pass along assets to the next generation. </w:t>
      </w:r>
    </w:p>
    <w:p w:rsidR="00C26D84" w:rsidRDefault="00C26D84" w:rsidP="00C26D84">
      <w:pPr>
        <w:jc w:val="both"/>
        <w:rPr>
          <w:i/>
        </w:rPr>
      </w:pPr>
      <w:r>
        <w:rPr>
          <w:noProof/>
        </w:rPr>
        <w:lastRenderedPageBreak/>
        <w:drawing>
          <wp:inline distT="0" distB="0" distL="0" distR="0" wp14:anchorId="1C34EB64" wp14:editId="35371E64">
            <wp:extent cx="5943600" cy="4516755"/>
            <wp:effectExtent l="0" t="0" r="0" b="0"/>
            <wp:docPr id="18" name="Picture 18" descr="Pyramid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yramid Graphic"/>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516755"/>
                    </a:xfrm>
                    <a:prstGeom prst="rect">
                      <a:avLst/>
                    </a:prstGeom>
                    <a:noFill/>
                    <a:ln>
                      <a:noFill/>
                    </a:ln>
                  </pic:spPr>
                </pic:pic>
              </a:graphicData>
            </a:graphic>
          </wp:inline>
        </w:drawing>
      </w:r>
    </w:p>
    <w:p w:rsidR="00C26D84" w:rsidRDefault="00C26D84" w:rsidP="00C26D84">
      <w:pPr>
        <w:jc w:val="both"/>
        <w:rPr>
          <w:noProof/>
        </w:rPr>
      </w:pPr>
    </w:p>
    <w:p w:rsidR="00C26D84" w:rsidRDefault="00C26D84" w:rsidP="00C26D84">
      <w:pPr>
        <w:jc w:val="both"/>
        <w:rPr>
          <w:noProof/>
        </w:rPr>
      </w:pPr>
    </w:p>
    <w:p w:rsidR="00C26D84" w:rsidRDefault="00C26D84" w:rsidP="00C26D84">
      <w:pPr>
        <w:jc w:val="both"/>
        <w:rPr>
          <w:noProof/>
        </w:rPr>
      </w:pPr>
    </w:p>
    <w:p w:rsidR="00C26D84" w:rsidRDefault="00C26D84">
      <w:pPr>
        <w:rPr>
          <w:noProof/>
        </w:rPr>
      </w:pPr>
      <w:r>
        <w:rPr>
          <w:noProof/>
        </w:rPr>
        <w:br w:type="page"/>
      </w:r>
    </w:p>
    <w:p w:rsidR="00C26D84" w:rsidRPr="00C26D84" w:rsidRDefault="00C26D84" w:rsidP="00C26D84">
      <w:pPr>
        <w:jc w:val="both"/>
        <w:rPr>
          <w:b/>
          <w:noProof/>
        </w:rPr>
      </w:pPr>
    </w:p>
    <w:p w:rsidR="00C26D84" w:rsidRDefault="00C26D84" w:rsidP="00C26D84">
      <w:pPr>
        <w:jc w:val="both"/>
        <w:rPr>
          <w:b/>
          <w:noProof/>
        </w:rPr>
      </w:pPr>
      <w:r w:rsidRPr="00C26D84">
        <w:rPr>
          <w:b/>
          <w:noProof/>
        </w:rPr>
        <w:t>UNDERSTA</w:t>
      </w:r>
      <w:r w:rsidR="00F72979">
        <w:rPr>
          <w:b/>
          <w:noProof/>
        </w:rPr>
        <w:t>N</w:t>
      </w:r>
      <w:r w:rsidRPr="00C26D84">
        <w:rPr>
          <w:b/>
          <w:noProof/>
        </w:rPr>
        <w:t>DING THE PLANNING PROCESS</w:t>
      </w:r>
    </w:p>
    <w:p w:rsidR="00F72979" w:rsidRPr="00F72979" w:rsidRDefault="00F72979" w:rsidP="00C26D84">
      <w:pPr>
        <w:jc w:val="both"/>
        <w:rPr>
          <w:noProof/>
        </w:rPr>
      </w:pPr>
      <w:r>
        <w:rPr>
          <w:noProof/>
        </w:rPr>
        <w:t xml:space="preserve">The planning process is detailed in the wheel below but can be summarized in six steps; </w:t>
      </w:r>
      <w:r w:rsidR="006D629A">
        <w:rPr>
          <w:noProof/>
        </w:rPr>
        <w:t>a</w:t>
      </w:r>
      <w:r>
        <w:rPr>
          <w:noProof/>
        </w:rPr>
        <w:t xml:space="preserve">gree to work together, gather information, analyze and strategize, develop recommendations, put plan in moition and </w:t>
      </w:r>
      <w:r w:rsidR="00C6505B">
        <w:rPr>
          <w:noProof/>
        </w:rPr>
        <w:t>monitor progress and stay on track.</w:t>
      </w:r>
    </w:p>
    <w:p w:rsidR="00F72979" w:rsidRPr="00C26D84" w:rsidRDefault="00F72979" w:rsidP="00C26D84">
      <w:pPr>
        <w:jc w:val="both"/>
        <w:rPr>
          <w:b/>
          <w:noProof/>
        </w:rPr>
      </w:pPr>
    </w:p>
    <w:p w:rsidR="00C26D84" w:rsidRDefault="00C26D84" w:rsidP="00C26D84">
      <w:pPr>
        <w:jc w:val="both"/>
        <w:rPr>
          <w:i/>
        </w:rPr>
      </w:pPr>
      <w:r>
        <w:rPr>
          <w:noProof/>
        </w:rPr>
        <w:drawing>
          <wp:inline distT="0" distB="0" distL="0" distR="0" wp14:anchorId="027ACF43" wp14:editId="3C6E01AD">
            <wp:extent cx="4831080" cy="4396549"/>
            <wp:effectExtent l="0" t="0" r="7620" b="4445"/>
            <wp:docPr id="20" name="Picture 20" descr="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ces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31290" cy="4396740"/>
                    </a:xfrm>
                    <a:prstGeom prst="rect">
                      <a:avLst/>
                    </a:prstGeom>
                    <a:noFill/>
                    <a:ln>
                      <a:noFill/>
                    </a:ln>
                  </pic:spPr>
                </pic:pic>
              </a:graphicData>
            </a:graphic>
          </wp:inline>
        </w:drawing>
      </w:r>
    </w:p>
    <w:p w:rsidR="00C26D84" w:rsidRDefault="00F72979" w:rsidP="00C26D84">
      <w:pPr>
        <w:jc w:val="both"/>
        <w:rPr>
          <w:i/>
        </w:rPr>
      </w:pPr>
      <w:r>
        <w:rPr>
          <w:i/>
        </w:rPr>
        <w:t>5</w:t>
      </w:r>
      <w:r w:rsidRPr="00F72979">
        <w:rPr>
          <w:i/>
          <w:vertAlign w:val="superscript"/>
        </w:rPr>
        <w:t>th</w:t>
      </w:r>
      <w:r>
        <w:rPr>
          <w:i/>
        </w:rPr>
        <w:t xml:space="preserve"> Street has two Certified Financial Planners on board with over 30 years in combined financial planning experience. In addition all Financial Planning and Comprehensive Well Management clients </w:t>
      </w:r>
      <w:r w:rsidR="00AE3DE1">
        <w:rPr>
          <w:i/>
        </w:rPr>
        <w:t xml:space="preserve">enjoy complimentary </w:t>
      </w:r>
      <w:r w:rsidR="006D629A">
        <w:rPr>
          <w:i/>
        </w:rPr>
        <w:t xml:space="preserve">24/7 </w:t>
      </w:r>
      <w:r w:rsidR="00AE3DE1">
        <w:rPr>
          <w:i/>
        </w:rPr>
        <w:t>access to e</w:t>
      </w:r>
      <w:r>
        <w:rPr>
          <w:i/>
        </w:rPr>
        <w:t>Money</w:t>
      </w:r>
      <w:r w:rsidR="00AE3DE1">
        <w:rPr>
          <w:i/>
        </w:rPr>
        <w:t xml:space="preserve">, a leading </w:t>
      </w:r>
      <w:r>
        <w:rPr>
          <w:i/>
        </w:rPr>
        <w:t>planning</w:t>
      </w:r>
      <w:r w:rsidR="00AE3DE1">
        <w:rPr>
          <w:i/>
        </w:rPr>
        <w:t xml:space="preserve"> technology solution to support every stage of life.</w:t>
      </w:r>
    </w:p>
    <w:p w:rsidR="00C26D84" w:rsidRDefault="00C26D84">
      <w:pPr>
        <w:rPr>
          <w:i/>
        </w:rPr>
      </w:pPr>
      <w:r>
        <w:rPr>
          <w:i/>
        </w:rPr>
        <w:br w:type="page"/>
      </w:r>
    </w:p>
    <w:p w:rsidR="00C26D84" w:rsidRPr="00C26D84" w:rsidRDefault="00C26D84" w:rsidP="00C26D84">
      <w:pPr>
        <w:rPr>
          <w:b/>
        </w:rPr>
      </w:pPr>
      <w:r w:rsidRPr="00C26D84">
        <w:rPr>
          <w:b/>
        </w:rPr>
        <w:lastRenderedPageBreak/>
        <w:t xml:space="preserve">Putting it All Together via Comprehensive Wealth Management </w:t>
      </w:r>
    </w:p>
    <w:p w:rsidR="00C26D84" w:rsidRPr="00C26D84" w:rsidRDefault="00C26D84" w:rsidP="00C26D84">
      <w:pPr>
        <w:rPr>
          <w:i/>
        </w:rPr>
      </w:pPr>
      <w:r w:rsidRPr="00C26D84">
        <w:rPr>
          <w:i/>
        </w:rPr>
        <w:t>A highly focused, client-centric approach to building wealth and financial peace of mind</w:t>
      </w:r>
    </w:p>
    <w:p w:rsidR="00C26D84" w:rsidRPr="00C26D84" w:rsidRDefault="00C26D84" w:rsidP="00C26D84">
      <w:pPr>
        <w:jc w:val="both"/>
      </w:pPr>
      <w:r w:rsidRPr="00C26D84">
        <w:t>At 5</w:t>
      </w:r>
      <w:r w:rsidRPr="00C26D84">
        <w:rPr>
          <w:vertAlign w:val="superscript"/>
        </w:rPr>
        <w:t>th</w:t>
      </w:r>
      <w:r w:rsidRPr="00C26D84">
        <w:t xml:space="preserve"> Street we understand that our value depends on the depth to which we understand our clients and our ability to take that knowledge and offer dynamic advice as their needs change. Our holistic approach to wealth management unifies asset management with integrated planning solutions designed to place an ongoing, up-to-date, and full view of our client’s unique situation and goals at the center of every decision. Rather than being limited to portfolio strategies, the emphasis of the advice shifts towards an understanding of the individual’s entire financial entire condition, and the implementation and monitoring of comprehensive strategies. </w:t>
      </w:r>
    </w:p>
    <w:p w:rsidR="00C26D84" w:rsidRDefault="00C26D84" w:rsidP="00C26D84">
      <w:pPr>
        <w:jc w:val="both"/>
        <w:rPr>
          <w:i/>
        </w:rPr>
      </w:pPr>
    </w:p>
    <w:p w:rsidR="00C26D84" w:rsidRDefault="00C26D84" w:rsidP="00C26D84">
      <w:pPr>
        <w:jc w:val="both"/>
        <w:rPr>
          <w:i/>
        </w:rPr>
      </w:pPr>
    </w:p>
    <w:p w:rsidR="00C26D84" w:rsidRDefault="00C26D84" w:rsidP="00C26D84">
      <w:pPr>
        <w:jc w:val="both"/>
        <w:rPr>
          <w:i/>
        </w:rPr>
      </w:pPr>
    </w:p>
    <w:p w:rsidR="00C26D84" w:rsidRDefault="00C26D84" w:rsidP="00C26D84">
      <w:pPr>
        <w:jc w:val="both"/>
        <w:rPr>
          <w:i/>
        </w:rPr>
      </w:pPr>
    </w:p>
    <w:p w:rsidR="00C26D84" w:rsidRDefault="00C26D84" w:rsidP="00C26D84">
      <w:pPr>
        <w:jc w:val="both"/>
        <w:rPr>
          <w:i/>
        </w:rPr>
      </w:pPr>
    </w:p>
    <w:p w:rsidR="00C26D84" w:rsidRDefault="00C26D84" w:rsidP="00C26D84">
      <w:pPr>
        <w:jc w:val="both"/>
        <w:rPr>
          <w:i/>
        </w:rPr>
      </w:pPr>
    </w:p>
    <w:p w:rsidR="00C26D84" w:rsidRDefault="00C26D84" w:rsidP="00C26D84">
      <w:pPr>
        <w:jc w:val="both"/>
        <w:rPr>
          <w:i/>
        </w:rPr>
      </w:pPr>
    </w:p>
    <w:p w:rsidR="00C26D84" w:rsidRDefault="00C26D84" w:rsidP="00C26D84">
      <w:pPr>
        <w:jc w:val="both"/>
        <w:rPr>
          <w:i/>
        </w:rPr>
      </w:pPr>
    </w:p>
    <w:p w:rsidR="00C26D84" w:rsidRDefault="00C26D84">
      <w:pPr>
        <w:rPr>
          <w:i/>
        </w:rPr>
      </w:pPr>
      <w:r>
        <w:rPr>
          <w:i/>
        </w:rPr>
        <w:br w:type="page"/>
      </w:r>
    </w:p>
    <w:tbl>
      <w:tblPr>
        <w:tblStyle w:val="TableGrid"/>
        <w:tblpPr w:leftFromText="180" w:rightFromText="180" w:vertAnchor="page" w:horzAnchor="margin" w:tblpXSpec="center" w:tblpY="3625"/>
        <w:tblW w:w="9918" w:type="dxa"/>
        <w:tblLayout w:type="fixed"/>
        <w:tblLook w:val="04A0" w:firstRow="1" w:lastRow="0" w:firstColumn="1" w:lastColumn="0" w:noHBand="0" w:noVBand="1"/>
      </w:tblPr>
      <w:tblGrid>
        <w:gridCol w:w="4650"/>
        <w:gridCol w:w="5268"/>
      </w:tblGrid>
      <w:tr w:rsidR="006E757D" w:rsidRPr="00C26D84" w:rsidTr="006E757D">
        <w:trPr>
          <w:trHeight w:val="263"/>
        </w:trPr>
        <w:tc>
          <w:tcPr>
            <w:tcW w:w="4650" w:type="dxa"/>
            <w:shd w:val="clear" w:color="auto" w:fill="B8CCE4" w:themeFill="accent1" w:themeFillTint="66"/>
          </w:tcPr>
          <w:p w:rsidR="006E757D" w:rsidRPr="00C26D84" w:rsidRDefault="006E757D" w:rsidP="00C26D84">
            <w:pPr>
              <w:jc w:val="center"/>
              <w:rPr>
                <w:b/>
                <w:color w:val="FFFFFF" w:themeColor="background1"/>
              </w:rPr>
            </w:pPr>
            <w:r w:rsidRPr="00C26D84">
              <w:rPr>
                <w:b/>
                <w:color w:val="FFFFFF" w:themeColor="background1"/>
              </w:rPr>
              <w:lastRenderedPageBreak/>
              <w:t>Financial Planning</w:t>
            </w:r>
          </w:p>
        </w:tc>
        <w:tc>
          <w:tcPr>
            <w:tcW w:w="5268" w:type="dxa"/>
            <w:shd w:val="clear" w:color="auto" w:fill="365F91" w:themeFill="accent1" w:themeFillShade="BF"/>
          </w:tcPr>
          <w:p w:rsidR="006E757D" w:rsidRPr="00C26D84" w:rsidRDefault="006E757D" w:rsidP="00C26D84">
            <w:pPr>
              <w:jc w:val="center"/>
              <w:rPr>
                <w:b/>
                <w:color w:val="FFFFFF" w:themeColor="background1"/>
              </w:rPr>
            </w:pPr>
            <w:r w:rsidRPr="00C26D84">
              <w:rPr>
                <w:b/>
                <w:color w:val="FFFFFF" w:themeColor="background1"/>
              </w:rPr>
              <w:t>Wealth Management</w:t>
            </w:r>
          </w:p>
        </w:tc>
      </w:tr>
      <w:tr w:rsidR="006E757D" w:rsidRPr="00C26D84" w:rsidTr="006E757D">
        <w:trPr>
          <w:trHeight w:val="5457"/>
        </w:trPr>
        <w:tc>
          <w:tcPr>
            <w:tcW w:w="4650" w:type="dxa"/>
          </w:tcPr>
          <w:p w:rsidR="006E757D" w:rsidRDefault="006E757D" w:rsidP="0096240E">
            <w:pPr>
              <w:contextualSpacing/>
              <w:rPr>
                <w:sz w:val="20"/>
                <w:szCs w:val="20"/>
              </w:rPr>
            </w:pPr>
            <w:r w:rsidRPr="00D11020">
              <w:rPr>
                <w:sz w:val="20"/>
                <w:szCs w:val="20"/>
              </w:rPr>
              <w:t>In depth, single engagement planning sessions on specific topics, including but not limited to:</w:t>
            </w:r>
            <w:r w:rsidR="00D11020" w:rsidRPr="00D11020">
              <w:rPr>
                <w:sz w:val="20"/>
                <w:szCs w:val="20"/>
              </w:rPr>
              <w:t xml:space="preserve"> </w:t>
            </w:r>
            <w:r w:rsidR="001E2865">
              <w:rPr>
                <w:sz w:val="20"/>
                <w:szCs w:val="20"/>
              </w:rPr>
              <w:t xml:space="preserve">Aligning Portfolio with Strategic Goals; </w:t>
            </w:r>
            <w:r w:rsidRPr="00C26D84">
              <w:rPr>
                <w:sz w:val="20"/>
                <w:szCs w:val="20"/>
              </w:rPr>
              <w:t>Retirement planning</w:t>
            </w:r>
            <w:r w:rsidR="0096240E">
              <w:rPr>
                <w:sz w:val="20"/>
                <w:szCs w:val="20"/>
              </w:rPr>
              <w:t xml:space="preserve">; </w:t>
            </w:r>
            <w:r w:rsidRPr="00C26D84">
              <w:rPr>
                <w:sz w:val="20"/>
                <w:szCs w:val="20"/>
              </w:rPr>
              <w:t>Tax Planning</w:t>
            </w:r>
            <w:r w:rsidR="0096240E">
              <w:rPr>
                <w:sz w:val="20"/>
                <w:szCs w:val="20"/>
              </w:rPr>
              <w:t xml:space="preserve">; </w:t>
            </w:r>
            <w:r w:rsidRPr="00C26D84">
              <w:rPr>
                <w:sz w:val="20"/>
                <w:szCs w:val="20"/>
              </w:rPr>
              <w:t>Estate Planning</w:t>
            </w:r>
            <w:r w:rsidR="0096240E">
              <w:rPr>
                <w:sz w:val="20"/>
                <w:szCs w:val="20"/>
              </w:rPr>
              <w:t xml:space="preserve">; </w:t>
            </w:r>
            <w:r w:rsidRPr="00C26D84">
              <w:rPr>
                <w:sz w:val="20"/>
                <w:szCs w:val="20"/>
              </w:rPr>
              <w:t>Insurance planning</w:t>
            </w:r>
            <w:r w:rsidR="0096240E">
              <w:rPr>
                <w:sz w:val="20"/>
                <w:szCs w:val="20"/>
              </w:rPr>
              <w:t xml:space="preserve">; </w:t>
            </w:r>
            <w:r w:rsidRPr="00C26D84">
              <w:rPr>
                <w:sz w:val="20"/>
                <w:szCs w:val="20"/>
              </w:rPr>
              <w:t>Stock Option Planning</w:t>
            </w:r>
            <w:r w:rsidR="0096240E">
              <w:rPr>
                <w:sz w:val="20"/>
                <w:szCs w:val="20"/>
              </w:rPr>
              <w:t xml:space="preserve">; </w:t>
            </w:r>
            <w:r w:rsidRPr="00C26D84">
              <w:rPr>
                <w:sz w:val="20"/>
                <w:szCs w:val="20"/>
              </w:rPr>
              <w:t>Business Succession Planning</w:t>
            </w:r>
            <w:r w:rsidR="0096240E">
              <w:rPr>
                <w:sz w:val="20"/>
                <w:szCs w:val="20"/>
              </w:rPr>
              <w:t>.</w:t>
            </w:r>
            <w:r w:rsidR="001E2865">
              <w:rPr>
                <w:sz w:val="20"/>
                <w:szCs w:val="20"/>
              </w:rPr>
              <w:t xml:space="preserve"> The Planning includes</w:t>
            </w:r>
          </w:p>
          <w:p w:rsidR="006D629A" w:rsidRDefault="006D629A" w:rsidP="001E2865">
            <w:pPr>
              <w:pStyle w:val="ListParagraph"/>
              <w:numPr>
                <w:ilvl w:val="0"/>
                <w:numId w:val="4"/>
              </w:numPr>
              <w:rPr>
                <w:sz w:val="20"/>
                <w:szCs w:val="20"/>
              </w:rPr>
            </w:pPr>
            <w:r>
              <w:rPr>
                <w:sz w:val="20"/>
                <w:szCs w:val="20"/>
              </w:rPr>
              <w:t>Agree to work together</w:t>
            </w:r>
          </w:p>
          <w:p w:rsidR="001E2865" w:rsidRDefault="001E2865" w:rsidP="001E2865">
            <w:pPr>
              <w:pStyle w:val="ListParagraph"/>
              <w:numPr>
                <w:ilvl w:val="0"/>
                <w:numId w:val="4"/>
              </w:numPr>
              <w:rPr>
                <w:sz w:val="20"/>
                <w:szCs w:val="20"/>
              </w:rPr>
            </w:pPr>
            <w:r>
              <w:rPr>
                <w:sz w:val="20"/>
                <w:szCs w:val="20"/>
              </w:rPr>
              <w:t xml:space="preserve">Initial </w:t>
            </w:r>
            <w:r w:rsidR="006D629A">
              <w:rPr>
                <w:sz w:val="20"/>
                <w:szCs w:val="20"/>
              </w:rPr>
              <w:t>m</w:t>
            </w:r>
            <w:r>
              <w:rPr>
                <w:sz w:val="20"/>
                <w:szCs w:val="20"/>
              </w:rPr>
              <w:t xml:space="preserve">eeting to assess goals and </w:t>
            </w:r>
            <w:r w:rsidR="00EC1DB8">
              <w:rPr>
                <w:sz w:val="20"/>
                <w:szCs w:val="20"/>
              </w:rPr>
              <w:t>gather</w:t>
            </w:r>
            <w:r>
              <w:rPr>
                <w:sz w:val="20"/>
                <w:szCs w:val="20"/>
              </w:rPr>
              <w:t xml:space="preserve"> facts</w:t>
            </w:r>
          </w:p>
          <w:p w:rsidR="001E2865" w:rsidRDefault="006D629A" w:rsidP="001E2865">
            <w:pPr>
              <w:pStyle w:val="ListParagraph"/>
              <w:numPr>
                <w:ilvl w:val="0"/>
                <w:numId w:val="4"/>
              </w:numPr>
              <w:rPr>
                <w:sz w:val="20"/>
                <w:szCs w:val="20"/>
              </w:rPr>
            </w:pPr>
            <w:r>
              <w:rPr>
                <w:sz w:val="20"/>
                <w:szCs w:val="20"/>
              </w:rPr>
              <w:t>In depth a</w:t>
            </w:r>
            <w:r w:rsidR="001E2865">
              <w:rPr>
                <w:sz w:val="20"/>
                <w:szCs w:val="20"/>
              </w:rPr>
              <w:t>nalysis</w:t>
            </w:r>
          </w:p>
          <w:p w:rsidR="001E2865" w:rsidRDefault="001E2865" w:rsidP="001E2865">
            <w:pPr>
              <w:pStyle w:val="ListParagraph"/>
              <w:numPr>
                <w:ilvl w:val="0"/>
                <w:numId w:val="4"/>
              </w:numPr>
              <w:rPr>
                <w:sz w:val="20"/>
                <w:szCs w:val="20"/>
              </w:rPr>
            </w:pPr>
            <w:r>
              <w:rPr>
                <w:sz w:val="20"/>
                <w:szCs w:val="20"/>
              </w:rPr>
              <w:t xml:space="preserve">Meeting to </w:t>
            </w:r>
            <w:r w:rsidR="006D629A">
              <w:rPr>
                <w:sz w:val="20"/>
                <w:szCs w:val="20"/>
              </w:rPr>
              <w:t>p</w:t>
            </w:r>
            <w:r>
              <w:rPr>
                <w:sz w:val="20"/>
                <w:szCs w:val="20"/>
              </w:rPr>
              <w:t xml:space="preserve">resent and  </w:t>
            </w:r>
            <w:r w:rsidR="006D629A">
              <w:rPr>
                <w:sz w:val="20"/>
                <w:szCs w:val="20"/>
              </w:rPr>
              <w:t>m</w:t>
            </w:r>
            <w:r>
              <w:rPr>
                <w:sz w:val="20"/>
                <w:szCs w:val="20"/>
              </w:rPr>
              <w:t>ake Recommendations</w:t>
            </w:r>
          </w:p>
          <w:p w:rsidR="006D629A" w:rsidRDefault="006D629A" w:rsidP="001E2865">
            <w:pPr>
              <w:pStyle w:val="ListParagraph"/>
              <w:numPr>
                <w:ilvl w:val="0"/>
                <w:numId w:val="4"/>
              </w:numPr>
              <w:rPr>
                <w:sz w:val="20"/>
                <w:szCs w:val="20"/>
              </w:rPr>
            </w:pPr>
            <w:r>
              <w:rPr>
                <w:sz w:val="20"/>
                <w:szCs w:val="20"/>
              </w:rPr>
              <w:t>Put plan in motion</w:t>
            </w:r>
          </w:p>
          <w:p w:rsidR="001E2865" w:rsidRPr="001E2865" w:rsidRDefault="001E2865" w:rsidP="001E2865">
            <w:pPr>
              <w:pStyle w:val="ListParagraph"/>
              <w:numPr>
                <w:ilvl w:val="0"/>
                <w:numId w:val="4"/>
              </w:numPr>
              <w:rPr>
                <w:sz w:val="20"/>
                <w:szCs w:val="20"/>
              </w:rPr>
            </w:pPr>
            <w:r>
              <w:rPr>
                <w:sz w:val="20"/>
                <w:szCs w:val="20"/>
              </w:rPr>
              <w:t>Follow up meeting to assess progress</w:t>
            </w:r>
          </w:p>
        </w:tc>
        <w:tc>
          <w:tcPr>
            <w:tcW w:w="5268" w:type="dxa"/>
          </w:tcPr>
          <w:p w:rsidR="006E757D" w:rsidRPr="00D11020" w:rsidRDefault="006E757D" w:rsidP="00C26D84">
            <w:pPr>
              <w:contextualSpacing/>
              <w:rPr>
                <w:sz w:val="20"/>
                <w:szCs w:val="20"/>
              </w:rPr>
            </w:pPr>
            <w:r w:rsidRPr="00C26D84">
              <w:rPr>
                <w:sz w:val="20"/>
                <w:szCs w:val="20"/>
              </w:rPr>
              <w:t>Integrated Financial Planning</w:t>
            </w:r>
          </w:p>
          <w:p w:rsidR="00EC1DB8" w:rsidRDefault="00EC1DB8" w:rsidP="00C26D84">
            <w:pPr>
              <w:pStyle w:val="ListParagraph"/>
              <w:numPr>
                <w:ilvl w:val="0"/>
                <w:numId w:val="3"/>
              </w:numPr>
              <w:rPr>
                <w:sz w:val="20"/>
                <w:szCs w:val="20"/>
              </w:rPr>
            </w:pPr>
            <w:r>
              <w:rPr>
                <w:sz w:val="20"/>
                <w:szCs w:val="20"/>
              </w:rPr>
              <w:t>Everything included in Financial Planning, plus</w:t>
            </w:r>
          </w:p>
          <w:p w:rsidR="006E757D" w:rsidRPr="00D11020" w:rsidRDefault="006E757D" w:rsidP="00C26D84">
            <w:pPr>
              <w:pStyle w:val="ListParagraph"/>
              <w:numPr>
                <w:ilvl w:val="0"/>
                <w:numId w:val="3"/>
              </w:numPr>
              <w:rPr>
                <w:sz w:val="20"/>
                <w:szCs w:val="20"/>
              </w:rPr>
            </w:pPr>
            <w:r w:rsidRPr="00D11020">
              <w:rPr>
                <w:sz w:val="20"/>
                <w:szCs w:val="20"/>
              </w:rPr>
              <w:t>Ongoing planning on unlimited topics</w:t>
            </w:r>
            <w:r w:rsidR="00EC1DB8">
              <w:rPr>
                <w:sz w:val="20"/>
                <w:szCs w:val="20"/>
              </w:rPr>
              <w:t xml:space="preserve"> </w:t>
            </w:r>
          </w:p>
          <w:p w:rsidR="006E757D" w:rsidRPr="00D11020" w:rsidRDefault="006E757D" w:rsidP="00C26D84">
            <w:pPr>
              <w:pStyle w:val="ListParagraph"/>
              <w:numPr>
                <w:ilvl w:val="0"/>
                <w:numId w:val="3"/>
              </w:numPr>
              <w:rPr>
                <w:sz w:val="20"/>
                <w:szCs w:val="20"/>
              </w:rPr>
            </w:pPr>
            <w:r w:rsidRPr="00D11020">
              <w:rPr>
                <w:sz w:val="20"/>
                <w:szCs w:val="20"/>
              </w:rPr>
              <w:t xml:space="preserve">Aggregation of </w:t>
            </w:r>
            <w:r w:rsidR="00EC1DB8">
              <w:rPr>
                <w:sz w:val="20"/>
                <w:szCs w:val="20"/>
              </w:rPr>
              <w:t xml:space="preserve">held away </w:t>
            </w:r>
            <w:r w:rsidRPr="00D11020">
              <w:rPr>
                <w:sz w:val="20"/>
                <w:szCs w:val="20"/>
              </w:rPr>
              <w:t xml:space="preserve">unmanaged accounts and consolidated view of financial condition via online portal </w:t>
            </w:r>
          </w:p>
          <w:p w:rsidR="006E757D" w:rsidRPr="00D11020" w:rsidRDefault="006E757D" w:rsidP="006E757D">
            <w:pPr>
              <w:pStyle w:val="ListParagraph"/>
              <w:numPr>
                <w:ilvl w:val="0"/>
                <w:numId w:val="3"/>
              </w:numPr>
              <w:rPr>
                <w:sz w:val="20"/>
                <w:szCs w:val="20"/>
              </w:rPr>
            </w:pPr>
            <w:r w:rsidRPr="00D11020">
              <w:rPr>
                <w:sz w:val="20"/>
                <w:szCs w:val="20"/>
              </w:rPr>
              <w:t xml:space="preserve">Performance Reporting on </w:t>
            </w:r>
            <w:r w:rsidR="00EC1DB8">
              <w:rPr>
                <w:sz w:val="20"/>
                <w:szCs w:val="20"/>
              </w:rPr>
              <w:t>o</w:t>
            </w:r>
            <w:r w:rsidRPr="00D11020">
              <w:rPr>
                <w:sz w:val="20"/>
                <w:szCs w:val="20"/>
              </w:rPr>
              <w:t>utside Investment</w:t>
            </w:r>
            <w:r w:rsidR="00EC1DB8">
              <w:rPr>
                <w:sz w:val="20"/>
                <w:szCs w:val="20"/>
              </w:rPr>
              <w:t>s</w:t>
            </w:r>
            <w:r w:rsidRPr="00D11020">
              <w:rPr>
                <w:sz w:val="20"/>
                <w:szCs w:val="20"/>
              </w:rPr>
              <w:t xml:space="preserve"> </w:t>
            </w:r>
            <w:r w:rsidR="00EC1DB8">
              <w:rPr>
                <w:sz w:val="20"/>
                <w:szCs w:val="20"/>
              </w:rPr>
              <w:t>accounts</w:t>
            </w:r>
          </w:p>
          <w:p w:rsidR="006E757D" w:rsidRPr="00D11020" w:rsidRDefault="006E757D" w:rsidP="006E757D">
            <w:pPr>
              <w:pStyle w:val="ListParagraph"/>
              <w:numPr>
                <w:ilvl w:val="0"/>
                <w:numId w:val="3"/>
              </w:numPr>
              <w:rPr>
                <w:sz w:val="20"/>
                <w:szCs w:val="20"/>
              </w:rPr>
            </w:pPr>
            <w:r w:rsidRPr="00D11020">
              <w:rPr>
                <w:sz w:val="20"/>
                <w:szCs w:val="20"/>
              </w:rPr>
              <w:t>Risk profile assessment</w:t>
            </w:r>
          </w:p>
          <w:p w:rsidR="006E757D" w:rsidRPr="00D11020" w:rsidRDefault="006E757D" w:rsidP="006E757D">
            <w:pPr>
              <w:pStyle w:val="ListParagraph"/>
              <w:numPr>
                <w:ilvl w:val="0"/>
                <w:numId w:val="3"/>
              </w:numPr>
              <w:rPr>
                <w:sz w:val="20"/>
                <w:szCs w:val="20"/>
              </w:rPr>
            </w:pPr>
            <w:r w:rsidRPr="00D11020">
              <w:rPr>
                <w:sz w:val="20"/>
                <w:szCs w:val="20"/>
              </w:rPr>
              <w:t>Evidenced based risk analysis of portfolios</w:t>
            </w:r>
          </w:p>
          <w:p w:rsidR="00EC1DB8" w:rsidRDefault="00EC1DB8" w:rsidP="006E757D">
            <w:pPr>
              <w:contextualSpacing/>
              <w:rPr>
                <w:sz w:val="20"/>
                <w:szCs w:val="20"/>
              </w:rPr>
            </w:pPr>
          </w:p>
          <w:p w:rsidR="006E757D" w:rsidRPr="00C26D84" w:rsidRDefault="006E757D" w:rsidP="006E757D">
            <w:pPr>
              <w:contextualSpacing/>
              <w:rPr>
                <w:sz w:val="20"/>
                <w:szCs w:val="20"/>
              </w:rPr>
            </w:pPr>
            <w:r w:rsidRPr="00D11020">
              <w:rPr>
                <w:sz w:val="20"/>
                <w:szCs w:val="20"/>
              </w:rPr>
              <w:t>Investment</w:t>
            </w:r>
            <w:r w:rsidRPr="00C26D84">
              <w:rPr>
                <w:sz w:val="20"/>
                <w:szCs w:val="20"/>
              </w:rPr>
              <w:t xml:space="preserve"> Management</w:t>
            </w:r>
          </w:p>
          <w:p w:rsidR="006E757D" w:rsidRPr="00C26D84" w:rsidRDefault="006E757D" w:rsidP="006E757D">
            <w:pPr>
              <w:numPr>
                <w:ilvl w:val="0"/>
                <w:numId w:val="1"/>
              </w:numPr>
              <w:contextualSpacing/>
              <w:rPr>
                <w:sz w:val="20"/>
                <w:szCs w:val="20"/>
              </w:rPr>
            </w:pPr>
            <w:r w:rsidRPr="00C26D84">
              <w:rPr>
                <w:sz w:val="20"/>
                <w:szCs w:val="20"/>
              </w:rPr>
              <w:t>Portfolio Construction and  Management</w:t>
            </w:r>
          </w:p>
          <w:p w:rsidR="006E757D" w:rsidRPr="00D11020" w:rsidRDefault="006E757D" w:rsidP="006E757D">
            <w:pPr>
              <w:numPr>
                <w:ilvl w:val="0"/>
                <w:numId w:val="1"/>
              </w:numPr>
              <w:contextualSpacing/>
              <w:rPr>
                <w:sz w:val="20"/>
                <w:szCs w:val="20"/>
              </w:rPr>
            </w:pPr>
            <w:r w:rsidRPr="00D11020">
              <w:rPr>
                <w:sz w:val="20"/>
                <w:szCs w:val="20"/>
              </w:rPr>
              <w:t>Goals Driven Investment Planning</w:t>
            </w:r>
          </w:p>
          <w:p w:rsidR="006E757D" w:rsidRPr="00C26D84" w:rsidRDefault="006E757D" w:rsidP="006E757D">
            <w:pPr>
              <w:numPr>
                <w:ilvl w:val="0"/>
                <w:numId w:val="1"/>
              </w:numPr>
              <w:contextualSpacing/>
              <w:rPr>
                <w:sz w:val="20"/>
                <w:szCs w:val="20"/>
              </w:rPr>
            </w:pPr>
            <w:r w:rsidRPr="00D11020">
              <w:rPr>
                <w:sz w:val="20"/>
                <w:szCs w:val="20"/>
              </w:rPr>
              <w:t xml:space="preserve">Quarterly </w:t>
            </w:r>
            <w:r w:rsidRPr="00C26D84">
              <w:rPr>
                <w:sz w:val="20"/>
                <w:szCs w:val="20"/>
              </w:rPr>
              <w:t>Performance Reporting</w:t>
            </w:r>
          </w:p>
          <w:p w:rsidR="006E757D" w:rsidRPr="00D11020" w:rsidRDefault="006E757D" w:rsidP="006E757D">
            <w:pPr>
              <w:numPr>
                <w:ilvl w:val="0"/>
                <w:numId w:val="1"/>
              </w:numPr>
              <w:contextualSpacing/>
              <w:rPr>
                <w:sz w:val="20"/>
                <w:szCs w:val="20"/>
              </w:rPr>
            </w:pPr>
            <w:r w:rsidRPr="00C26D84">
              <w:rPr>
                <w:sz w:val="20"/>
                <w:szCs w:val="20"/>
              </w:rPr>
              <w:t>Quarterly Market Analysis Reports</w:t>
            </w:r>
          </w:p>
          <w:p w:rsidR="00D11020" w:rsidRPr="00C26D84" w:rsidRDefault="00D11020" w:rsidP="006E757D">
            <w:pPr>
              <w:numPr>
                <w:ilvl w:val="0"/>
                <w:numId w:val="1"/>
              </w:numPr>
              <w:contextualSpacing/>
              <w:rPr>
                <w:sz w:val="20"/>
                <w:szCs w:val="20"/>
              </w:rPr>
            </w:pPr>
            <w:r w:rsidRPr="00D11020">
              <w:rPr>
                <w:sz w:val="20"/>
                <w:szCs w:val="20"/>
              </w:rPr>
              <w:t>Management of outside accounts</w:t>
            </w:r>
          </w:p>
          <w:p w:rsidR="006E757D" w:rsidRPr="00C26D84" w:rsidRDefault="006E757D" w:rsidP="006E757D">
            <w:pPr>
              <w:ind w:left="720"/>
              <w:contextualSpacing/>
              <w:rPr>
                <w:sz w:val="20"/>
                <w:szCs w:val="20"/>
              </w:rPr>
            </w:pPr>
          </w:p>
        </w:tc>
      </w:tr>
      <w:tr w:rsidR="006E757D" w:rsidRPr="00C26D84" w:rsidTr="00EC1DB8">
        <w:trPr>
          <w:trHeight w:val="4322"/>
        </w:trPr>
        <w:tc>
          <w:tcPr>
            <w:tcW w:w="4650" w:type="dxa"/>
          </w:tcPr>
          <w:p w:rsidR="006E757D" w:rsidRPr="00C26D84" w:rsidRDefault="006E757D" w:rsidP="00C26D84">
            <w:pPr>
              <w:ind w:left="720"/>
              <w:contextualSpacing/>
              <w:jc w:val="center"/>
              <w:rPr>
                <w:b/>
                <w:sz w:val="20"/>
                <w:szCs w:val="20"/>
              </w:rPr>
            </w:pPr>
            <w:r w:rsidRPr="00C26D84">
              <w:rPr>
                <w:b/>
                <w:sz w:val="20"/>
                <w:szCs w:val="20"/>
              </w:rPr>
              <w:t>Flat Fee</w:t>
            </w:r>
          </w:p>
          <w:p w:rsidR="006E757D" w:rsidRPr="00C26D84" w:rsidRDefault="006E757D" w:rsidP="00C26D84">
            <w:pPr>
              <w:rPr>
                <w:b/>
                <w:sz w:val="20"/>
                <w:szCs w:val="20"/>
              </w:rPr>
            </w:pPr>
            <w:r w:rsidRPr="00C26D84">
              <w:rPr>
                <w:sz w:val="20"/>
                <w:szCs w:val="20"/>
              </w:rPr>
              <w:t>$5,000 plus travel expenses for engagements outside the Tri-State Area.</w:t>
            </w:r>
          </w:p>
        </w:tc>
        <w:tc>
          <w:tcPr>
            <w:tcW w:w="5268" w:type="dxa"/>
          </w:tcPr>
          <w:p w:rsidR="006E757D" w:rsidRPr="00C26D84" w:rsidRDefault="006E757D" w:rsidP="00C26D84">
            <w:pPr>
              <w:jc w:val="center"/>
              <w:rPr>
                <w:b/>
                <w:sz w:val="20"/>
                <w:szCs w:val="20"/>
              </w:rPr>
            </w:pPr>
            <w:r w:rsidRPr="00C26D84">
              <w:rPr>
                <w:b/>
                <w:sz w:val="20"/>
                <w:szCs w:val="20"/>
              </w:rPr>
              <w:t>Annual Fee</w:t>
            </w:r>
          </w:p>
          <w:p w:rsidR="00EC1DB8" w:rsidRDefault="006E757D" w:rsidP="00D11020">
            <w:pPr>
              <w:rPr>
                <w:sz w:val="20"/>
                <w:szCs w:val="20"/>
              </w:rPr>
            </w:pPr>
            <w:r w:rsidRPr="00C26D84">
              <w:rPr>
                <w:sz w:val="20"/>
                <w:szCs w:val="20"/>
              </w:rPr>
              <w:t>Fees are charged quarterly, in arrears, based on the amount of assets under management</w:t>
            </w:r>
            <w:r w:rsidR="00D11020" w:rsidRPr="00D11020">
              <w:rPr>
                <w:sz w:val="20"/>
                <w:szCs w:val="20"/>
              </w:rPr>
              <w:t xml:space="preserve"> (AUM)</w:t>
            </w:r>
            <w:r w:rsidRPr="00C26D84">
              <w:rPr>
                <w:sz w:val="20"/>
                <w:szCs w:val="20"/>
              </w:rPr>
              <w:t>.</w:t>
            </w:r>
          </w:p>
          <w:p w:rsidR="00EC1DB8" w:rsidRDefault="00EC1DB8" w:rsidP="00EC1DB8">
            <w:pPr>
              <w:pStyle w:val="ListParagraph"/>
              <w:numPr>
                <w:ilvl w:val="0"/>
                <w:numId w:val="5"/>
              </w:numPr>
              <w:rPr>
                <w:sz w:val="20"/>
                <w:szCs w:val="20"/>
              </w:rPr>
            </w:pPr>
            <w:r>
              <w:rPr>
                <w:sz w:val="20"/>
                <w:szCs w:val="20"/>
              </w:rPr>
              <w:t>Up to $1,000,000 – 1% ($1,000 per $100,000 managed)</w:t>
            </w:r>
          </w:p>
          <w:p w:rsidR="00EC1DB8" w:rsidRDefault="00EC1DB8" w:rsidP="00EC1DB8">
            <w:pPr>
              <w:pStyle w:val="ListParagraph"/>
              <w:numPr>
                <w:ilvl w:val="0"/>
                <w:numId w:val="5"/>
              </w:numPr>
              <w:rPr>
                <w:sz w:val="20"/>
                <w:szCs w:val="20"/>
              </w:rPr>
            </w:pPr>
            <w:r>
              <w:rPr>
                <w:sz w:val="20"/>
                <w:szCs w:val="20"/>
              </w:rPr>
              <w:t>From $1,000,000 to $2,000,000  - .75% ($750 per $100,000 managed)</w:t>
            </w:r>
          </w:p>
          <w:p w:rsidR="00EC1DB8" w:rsidRPr="00EC1DB8" w:rsidRDefault="00EC1DB8" w:rsidP="00EC1DB8">
            <w:pPr>
              <w:pStyle w:val="ListParagraph"/>
              <w:numPr>
                <w:ilvl w:val="0"/>
                <w:numId w:val="5"/>
              </w:numPr>
              <w:rPr>
                <w:sz w:val="20"/>
                <w:szCs w:val="20"/>
              </w:rPr>
            </w:pPr>
            <w:r>
              <w:rPr>
                <w:sz w:val="20"/>
                <w:szCs w:val="20"/>
              </w:rPr>
              <w:t xml:space="preserve">Above $2,000,000 - .50 ($500 per $100,000 managed) </w:t>
            </w:r>
          </w:p>
          <w:p w:rsidR="00D11020" w:rsidRPr="00D11020" w:rsidRDefault="006E757D" w:rsidP="00D11020">
            <w:pPr>
              <w:rPr>
                <w:sz w:val="20"/>
                <w:szCs w:val="20"/>
              </w:rPr>
            </w:pPr>
            <w:r w:rsidRPr="00C26D84">
              <w:rPr>
                <w:sz w:val="20"/>
                <w:szCs w:val="20"/>
              </w:rPr>
              <w:t xml:space="preserve"> </w:t>
            </w:r>
          </w:p>
          <w:p w:rsidR="00D11020" w:rsidRPr="00D11020" w:rsidRDefault="00EC1DB8" w:rsidP="00D11020">
            <w:pPr>
              <w:jc w:val="both"/>
              <w:rPr>
                <w:sz w:val="20"/>
                <w:szCs w:val="20"/>
              </w:rPr>
            </w:pPr>
            <w:r>
              <w:rPr>
                <w:sz w:val="20"/>
                <w:szCs w:val="20"/>
              </w:rPr>
              <w:t>Held away and a</w:t>
            </w:r>
            <w:r w:rsidR="006E757D" w:rsidRPr="00C26D84">
              <w:rPr>
                <w:sz w:val="20"/>
                <w:szCs w:val="20"/>
              </w:rPr>
              <w:t xml:space="preserve">ggregated accounts </w:t>
            </w:r>
            <w:r w:rsidR="00D11020" w:rsidRPr="00D11020">
              <w:rPr>
                <w:sz w:val="20"/>
                <w:szCs w:val="20"/>
              </w:rPr>
              <w:t xml:space="preserve">that we provide performance reporting </w:t>
            </w:r>
            <w:r>
              <w:rPr>
                <w:sz w:val="20"/>
                <w:szCs w:val="20"/>
              </w:rPr>
              <w:t>are</w:t>
            </w:r>
            <w:r w:rsidR="00D11020" w:rsidRPr="00D11020">
              <w:rPr>
                <w:sz w:val="20"/>
                <w:szCs w:val="20"/>
              </w:rPr>
              <w:t xml:space="preserve"> charged</w:t>
            </w:r>
            <w:r w:rsidR="00823D7F">
              <w:rPr>
                <w:sz w:val="20"/>
                <w:szCs w:val="20"/>
              </w:rPr>
              <w:t xml:space="preserve"> </w:t>
            </w:r>
            <w:r>
              <w:rPr>
                <w:sz w:val="20"/>
                <w:szCs w:val="20"/>
              </w:rPr>
              <w:t>.10</w:t>
            </w:r>
            <w:r w:rsidR="00823D7F">
              <w:rPr>
                <w:sz w:val="20"/>
                <w:szCs w:val="20"/>
              </w:rPr>
              <w:t>% ($100 per $100,000)</w:t>
            </w:r>
            <w:r w:rsidR="00D11020" w:rsidRPr="00D11020">
              <w:rPr>
                <w:sz w:val="20"/>
                <w:szCs w:val="20"/>
              </w:rPr>
              <w:t xml:space="preserve">. </w:t>
            </w:r>
            <w:r w:rsidR="00823D7F">
              <w:rPr>
                <w:sz w:val="20"/>
                <w:szCs w:val="20"/>
              </w:rPr>
              <w:t xml:space="preserve"> </w:t>
            </w:r>
            <w:r w:rsidR="00D11020" w:rsidRPr="00D11020">
              <w:rPr>
                <w:sz w:val="20"/>
                <w:szCs w:val="20"/>
              </w:rPr>
              <w:t xml:space="preserve">Accounts </w:t>
            </w:r>
            <w:r w:rsidR="00823D7F">
              <w:rPr>
                <w:sz w:val="20"/>
                <w:szCs w:val="20"/>
              </w:rPr>
              <w:t xml:space="preserve">held away where </w:t>
            </w:r>
            <w:r w:rsidR="00D11020" w:rsidRPr="00D11020">
              <w:rPr>
                <w:sz w:val="20"/>
                <w:szCs w:val="20"/>
              </w:rPr>
              <w:t>we report</w:t>
            </w:r>
            <w:r w:rsidR="00823D7F">
              <w:rPr>
                <w:sz w:val="20"/>
                <w:szCs w:val="20"/>
              </w:rPr>
              <w:t xml:space="preserve"> and </w:t>
            </w:r>
            <w:proofErr w:type="gramStart"/>
            <w:r w:rsidR="00823D7F">
              <w:rPr>
                <w:sz w:val="20"/>
                <w:szCs w:val="20"/>
              </w:rPr>
              <w:t>manage</w:t>
            </w:r>
            <w:r w:rsidR="00D11020" w:rsidRPr="00D11020">
              <w:rPr>
                <w:sz w:val="20"/>
                <w:szCs w:val="20"/>
              </w:rPr>
              <w:t xml:space="preserve">  are</w:t>
            </w:r>
            <w:proofErr w:type="gramEnd"/>
            <w:r w:rsidR="00D11020" w:rsidRPr="00D11020">
              <w:rPr>
                <w:sz w:val="20"/>
                <w:szCs w:val="20"/>
              </w:rPr>
              <w:t xml:space="preserve"> charged 0.</w:t>
            </w:r>
            <w:r w:rsidR="00823D7F">
              <w:rPr>
                <w:sz w:val="20"/>
                <w:szCs w:val="20"/>
              </w:rPr>
              <w:t>25</w:t>
            </w:r>
            <w:r w:rsidR="00D11020" w:rsidRPr="00D11020">
              <w:rPr>
                <w:sz w:val="20"/>
                <w:szCs w:val="20"/>
              </w:rPr>
              <w:t xml:space="preserve">% </w:t>
            </w:r>
            <w:r w:rsidR="00823D7F">
              <w:rPr>
                <w:sz w:val="20"/>
                <w:szCs w:val="20"/>
              </w:rPr>
              <w:t>($250 per $100,000)</w:t>
            </w:r>
            <w:r w:rsidR="00D11020" w:rsidRPr="00D11020">
              <w:rPr>
                <w:sz w:val="20"/>
                <w:szCs w:val="20"/>
              </w:rPr>
              <w:t>.</w:t>
            </w:r>
            <w:r w:rsidR="00823D7F">
              <w:rPr>
                <w:sz w:val="20"/>
                <w:szCs w:val="20"/>
              </w:rPr>
              <w:t xml:space="preserve">  </w:t>
            </w:r>
          </w:p>
          <w:p w:rsidR="006E757D" w:rsidRPr="00C26D84" w:rsidRDefault="00D11020" w:rsidP="00D11020">
            <w:pPr>
              <w:jc w:val="both"/>
              <w:rPr>
                <w:sz w:val="20"/>
                <w:szCs w:val="20"/>
              </w:rPr>
            </w:pPr>
            <w:r w:rsidRPr="00D11020">
              <w:rPr>
                <w:sz w:val="20"/>
                <w:szCs w:val="20"/>
              </w:rPr>
              <w:t xml:space="preserve"> </w:t>
            </w:r>
          </w:p>
        </w:tc>
      </w:tr>
    </w:tbl>
    <w:p w:rsidR="00D11020" w:rsidRPr="00D11020" w:rsidRDefault="00D11020" w:rsidP="00D11020">
      <w:pPr>
        <w:rPr>
          <w:rFonts w:eastAsia="Times New Roman" w:cs="Arial"/>
          <w:b/>
          <w:color w:val="333333"/>
        </w:rPr>
      </w:pPr>
      <w:r w:rsidRPr="00D11020">
        <w:rPr>
          <w:rFonts w:eastAsia="Times New Roman" w:cs="Arial"/>
          <w:b/>
          <w:color w:val="333333"/>
        </w:rPr>
        <w:t>UNDERSTANDING OUR FEES</w:t>
      </w:r>
    </w:p>
    <w:p w:rsidR="001E2865" w:rsidRDefault="00D11020">
      <w:pPr>
        <w:rPr>
          <w:rFonts w:eastAsia="Times New Roman" w:cs="Arial"/>
          <w:color w:val="333333"/>
        </w:rPr>
      </w:pPr>
      <w:r w:rsidRPr="00D11020">
        <w:rPr>
          <w:rFonts w:eastAsia="Times New Roman" w:cs="Arial"/>
          <w:color w:val="333333"/>
        </w:rPr>
        <w:t>Clients</w:t>
      </w:r>
      <w:r>
        <w:rPr>
          <w:rFonts w:eastAsia="Times New Roman" w:cs="Arial"/>
          <w:color w:val="333333"/>
        </w:rPr>
        <w:t xml:space="preserve"> typically</w:t>
      </w:r>
      <w:r w:rsidRPr="00D11020">
        <w:rPr>
          <w:rFonts w:eastAsia="Times New Roman" w:cs="Arial"/>
          <w:color w:val="333333"/>
        </w:rPr>
        <w:t xml:space="preserve"> engage 5</w:t>
      </w:r>
      <w:r w:rsidRPr="00D11020">
        <w:rPr>
          <w:rFonts w:eastAsia="Times New Roman" w:cs="Arial"/>
          <w:color w:val="333333"/>
          <w:vertAlign w:val="superscript"/>
        </w:rPr>
        <w:t>th</w:t>
      </w:r>
      <w:r w:rsidRPr="00D11020">
        <w:rPr>
          <w:rFonts w:eastAsia="Times New Roman" w:cs="Arial"/>
          <w:color w:val="333333"/>
        </w:rPr>
        <w:t xml:space="preserve"> Street for </w:t>
      </w:r>
      <w:r>
        <w:rPr>
          <w:rFonts w:eastAsia="Times New Roman" w:cs="Arial"/>
          <w:color w:val="333333"/>
        </w:rPr>
        <w:t xml:space="preserve">either </w:t>
      </w:r>
      <w:r w:rsidRPr="00D11020">
        <w:rPr>
          <w:rFonts w:eastAsia="Times New Roman" w:cs="Arial"/>
          <w:color w:val="333333"/>
        </w:rPr>
        <w:t xml:space="preserve">single engagement financial planning or </w:t>
      </w:r>
      <w:r w:rsidR="006D629A">
        <w:rPr>
          <w:rFonts w:eastAsia="Times New Roman" w:cs="Arial"/>
          <w:color w:val="333333"/>
        </w:rPr>
        <w:t xml:space="preserve">more commonly through </w:t>
      </w:r>
      <w:r w:rsidRPr="00D11020">
        <w:rPr>
          <w:rFonts w:eastAsia="Times New Roman" w:cs="Arial"/>
          <w:color w:val="333333"/>
        </w:rPr>
        <w:t>comprehensive wealth management.</w:t>
      </w:r>
      <w:r>
        <w:rPr>
          <w:rFonts w:eastAsia="Times New Roman" w:cs="Arial"/>
          <w:color w:val="333333"/>
        </w:rPr>
        <w:t xml:space="preserve"> We charge a flat fee for single engagement financial plans </w:t>
      </w:r>
      <w:r w:rsidR="001E2865">
        <w:rPr>
          <w:rFonts w:eastAsia="Times New Roman" w:cs="Arial"/>
          <w:color w:val="333333"/>
        </w:rPr>
        <w:t xml:space="preserve">starting at $5,000. </w:t>
      </w:r>
      <w:r w:rsidR="006D629A">
        <w:rPr>
          <w:rFonts w:eastAsia="Times New Roman" w:cs="Arial"/>
          <w:color w:val="333333"/>
        </w:rPr>
        <w:t xml:space="preserve">Clients with </w:t>
      </w:r>
      <w:r w:rsidRPr="00D11020">
        <w:rPr>
          <w:rFonts w:eastAsia="Times New Roman" w:cs="Arial"/>
          <w:color w:val="333333"/>
        </w:rPr>
        <w:t xml:space="preserve">$500,000 of assets under management </w:t>
      </w:r>
      <w:r w:rsidR="006D629A">
        <w:rPr>
          <w:rFonts w:eastAsia="Times New Roman" w:cs="Arial"/>
          <w:color w:val="333333"/>
        </w:rPr>
        <w:t xml:space="preserve">receive financial planning on a complimentary basis.  </w:t>
      </w:r>
      <w:r w:rsidR="001E2865">
        <w:rPr>
          <w:rFonts w:eastAsia="Times New Roman" w:cs="Arial"/>
          <w:color w:val="333333"/>
        </w:rPr>
        <w:br w:type="page"/>
      </w:r>
    </w:p>
    <w:p w:rsidR="001E2865" w:rsidRPr="001E2865" w:rsidRDefault="001E2865" w:rsidP="001E2865">
      <w:pPr>
        <w:rPr>
          <w:b/>
        </w:rPr>
      </w:pPr>
      <w:r w:rsidRPr="001E2865">
        <w:rPr>
          <w:b/>
        </w:rPr>
        <w:lastRenderedPageBreak/>
        <w:t>FAQ</w:t>
      </w:r>
    </w:p>
    <w:p w:rsidR="001E2865" w:rsidRPr="001E2865" w:rsidRDefault="001E2865" w:rsidP="001E2865">
      <w:pPr>
        <w:shd w:val="clear" w:color="auto" w:fill="FFFFFF"/>
        <w:spacing w:before="300" w:after="150" w:line="240" w:lineRule="auto"/>
        <w:outlineLvl w:val="1"/>
        <w:rPr>
          <w:rFonts w:eastAsia="Times New Roman" w:cs="Arial"/>
          <w:b/>
          <w:bCs/>
        </w:rPr>
      </w:pPr>
      <w:r w:rsidRPr="001E2865">
        <w:rPr>
          <w:rFonts w:eastAsia="Times New Roman" w:cs="Arial"/>
          <w:b/>
          <w:bCs/>
        </w:rPr>
        <w:t>What is a Fiduciary and why does it matter?</w:t>
      </w:r>
      <w:r>
        <w:rPr>
          <w:rFonts w:eastAsia="Times New Roman" w:cs="Arial"/>
          <w:b/>
          <w:bCs/>
        </w:rPr>
        <w:t xml:space="preserve"> </w:t>
      </w:r>
      <w:r w:rsidRPr="001E2865">
        <w:rPr>
          <w:rFonts w:eastAsia="Times New Roman" w:cs="Arial"/>
          <w:color w:val="333333"/>
        </w:rPr>
        <w:t>As an SEC Registered Investment Adviser (RIA), 5th Street Advisors is considered a fiduciary, and thus held to the highest standard of care under applicable law. A “fiduciary” owes its clients a duty of loyalty, must disclose any conflicts of interest, and must always act in the best interest of its clients. Surprisingly, many financial professionals are not legally considered fiduciaries, and thus do not owe their clients such loyalty. Although most financial professionals will hold themselves out as trusted advisors, many in fact are simply salesmen, paid on commission depending on what they sell you.  Working with a fiduciary, therefore, is valuable because it ensures a level of objectivity in the advice you receive.</w:t>
      </w:r>
    </w:p>
    <w:p w:rsidR="001E2865" w:rsidRPr="001E2865" w:rsidRDefault="001E2865" w:rsidP="001E2865">
      <w:pPr>
        <w:shd w:val="clear" w:color="auto" w:fill="FFFFFF"/>
        <w:spacing w:before="300" w:after="150" w:line="240" w:lineRule="auto"/>
        <w:outlineLvl w:val="1"/>
        <w:rPr>
          <w:rFonts w:eastAsia="Times New Roman" w:cs="Arial"/>
          <w:b/>
          <w:bCs/>
        </w:rPr>
      </w:pPr>
      <w:r w:rsidRPr="001E2865">
        <w:rPr>
          <w:rFonts w:eastAsia="Times New Roman" w:cs="Arial"/>
          <w:b/>
          <w:bCs/>
        </w:rPr>
        <w:t>Do you take custody of client assets?</w:t>
      </w:r>
      <w:r>
        <w:rPr>
          <w:rFonts w:eastAsia="Times New Roman" w:cs="Arial"/>
          <w:b/>
          <w:bCs/>
        </w:rPr>
        <w:t xml:space="preserve"> </w:t>
      </w:r>
      <w:r w:rsidRPr="001E2865">
        <w:rPr>
          <w:rFonts w:eastAsia="Times New Roman" w:cs="Arial"/>
          <w:color w:val="333333"/>
        </w:rPr>
        <w:t>No. 5</w:t>
      </w:r>
      <w:r w:rsidRPr="001E2865">
        <w:rPr>
          <w:rFonts w:eastAsia="Times New Roman" w:cs="Arial"/>
          <w:color w:val="333333"/>
          <w:vertAlign w:val="superscript"/>
        </w:rPr>
        <w:t>th</w:t>
      </w:r>
      <w:r w:rsidRPr="001E2865">
        <w:rPr>
          <w:rFonts w:eastAsia="Times New Roman" w:cs="Arial"/>
          <w:color w:val="333333"/>
        </w:rPr>
        <w:t xml:space="preserve"> Street Advisors never takes custody of client assets. Typically our client’s assets are held in custody at Schwab or Fidelity, to industry leading custodians.  In addition to 5</w:t>
      </w:r>
      <w:r w:rsidRPr="001E2865">
        <w:rPr>
          <w:rFonts w:eastAsia="Times New Roman" w:cs="Arial"/>
          <w:color w:val="333333"/>
          <w:vertAlign w:val="superscript"/>
        </w:rPr>
        <w:t>th</w:t>
      </w:r>
      <w:r w:rsidRPr="001E2865">
        <w:rPr>
          <w:rFonts w:eastAsia="Times New Roman" w:cs="Arial"/>
          <w:color w:val="333333"/>
        </w:rPr>
        <w:t xml:space="preserve"> Street’s regular performance reporting, the custodian’s provide monthly account statements as well as 24/7 online access to you accounts.</w:t>
      </w:r>
    </w:p>
    <w:p w:rsidR="001E2865" w:rsidRDefault="001E2865" w:rsidP="001E2865">
      <w:pPr>
        <w:shd w:val="clear" w:color="auto" w:fill="FFFFFF"/>
        <w:spacing w:after="150" w:line="240" w:lineRule="auto"/>
        <w:rPr>
          <w:rFonts w:eastAsia="Times New Roman" w:cs="Arial"/>
          <w:color w:val="333333"/>
        </w:rPr>
      </w:pPr>
      <w:r w:rsidRPr="001E2865">
        <w:rPr>
          <w:rFonts w:eastAsia="Times New Roman" w:cs="Arial"/>
          <w:b/>
          <w:color w:val="333333"/>
        </w:rPr>
        <w:t>What about financial accounts outside your primary custodians?</w:t>
      </w:r>
      <w:r>
        <w:rPr>
          <w:rFonts w:eastAsia="Times New Roman" w:cs="Arial"/>
          <w:b/>
          <w:color w:val="333333"/>
        </w:rPr>
        <w:t xml:space="preserve"> </w:t>
      </w:r>
      <w:r>
        <w:rPr>
          <w:rFonts w:eastAsia="Times New Roman" w:cs="Arial"/>
          <w:color w:val="333333"/>
        </w:rPr>
        <w:t>At the client’s request, 5</w:t>
      </w:r>
      <w:r w:rsidRPr="001E2865">
        <w:rPr>
          <w:rFonts w:eastAsia="Times New Roman" w:cs="Arial"/>
          <w:color w:val="333333"/>
          <w:vertAlign w:val="superscript"/>
        </w:rPr>
        <w:t>th</w:t>
      </w:r>
      <w:r>
        <w:rPr>
          <w:rFonts w:eastAsia="Times New Roman" w:cs="Arial"/>
          <w:color w:val="333333"/>
        </w:rPr>
        <w:t xml:space="preserve"> Street will provide performance reporting and rebalancing on accounts held outside our primary custodians. </w:t>
      </w:r>
    </w:p>
    <w:p w:rsidR="001E2865" w:rsidRPr="001E2865" w:rsidRDefault="001E2865" w:rsidP="001E2865">
      <w:pPr>
        <w:shd w:val="clear" w:color="auto" w:fill="FFFFFF"/>
        <w:spacing w:after="150" w:line="240" w:lineRule="auto"/>
        <w:rPr>
          <w:rFonts w:eastAsia="Times New Roman" w:cs="Arial"/>
          <w:b/>
          <w:color w:val="333333"/>
        </w:rPr>
      </w:pPr>
      <w:r w:rsidRPr="001E2865">
        <w:rPr>
          <w:rFonts w:eastAsia="Times New Roman" w:cs="Arial"/>
          <w:b/>
          <w:color w:val="333333"/>
        </w:rPr>
        <w:t xml:space="preserve">Do you provide </w:t>
      </w:r>
      <w:r w:rsidR="001A6DD2">
        <w:rPr>
          <w:rFonts w:eastAsia="Times New Roman" w:cs="Arial"/>
          <w:b/>
          <w:color w:val="333333"/>
        </w:rPr>
        <w:t>analysis or</w:t>
      </w:r>
      <w:r w:rsidR="000328E7">
        <w:rPr>
          <w:rFonts w:eastAsia="Times New Roman" w:cs="Arial"/>
          <w:b/>
          <w:color w:val="333333"/>
        </w:rPr>
        <w:t xml:space="preserve"> “second opinions” </w:t>
      </w:r>
      <w:r>
        <w:rPr>
          <w:rFonts w:eastAsia="Times New Roman" w:cs="Arial"/>
          <w:b/>
          <w:color w:val="333333"/>
        </w:rPr>
        <w:t xml:space="preserve">on portfolios </w:t>
      </w:r>
      <w:r w:rsidR="000328E7">
        <w:rPr>
          <w:rFonts w:eastAsia="Times New Roman" w:cs="Arial"/>
          <w:b/>
          <w:color w:val="333333"/>
        </w:rPr>
        <w:t>outside your</w:t>
      </w:r>
      <w:r>
        <w:rPr>
          <w:rFonts w:eastAsia="Times New Roman" w:cs="Arial"/>
          <w:b/>
          <w:color w:val="333333"/>
        </w:rPr>
        <w:t xml:space="preserve"> management? </w:t>
      </w:r>
      <w:r w:rsidRPr="001E2865">
        <w:rPr>
          <w:rFonts w:eastAsia="Times New Roman" w:cs="Arial"/>
          <w:color w:val="333333"/>
        </w:rPr>
        <w:t>Ye</w:t>
      </w:r>
      <w:r>
        <w:rPr>
          <w:rFonts w:eastAsia="Times New Roman" w:cs="Arial"/>
          <w:color w:val="333333"/>
        </w:rPr>
        <w:t>s. 5</w:t>
      </w:r>
      <w:r w:rsidRPr="001E2865">
        <w:rPr>
          <w:rFonts w:eastAsia="Times New Roman" w:cs="Arial"/>
          <w:color w:val="333333"/>
          <w:vertAlign w:val="superscript"/>
        </w:rPr>
        <w:t>th</w:t>
      </w:r>
      <w:r>
        <w:rPr>
          <w:rFonts w:eastAsia="Times New Roman" w:cs="Arial"/>
          <w:color w:val="333333"/>
        </w:rPr>
        <w:t xml:space="preserve"> Street regularly provides analysis of portfolios outside our management a</w:t>
      </w:r>
      <w:r w:rsidR="000328E7">
        <w:rPr>
          <w:rFonts w:eastAsia="Times New Roman" w:cs="Arial"/>
          <w:color w:val="333333"/>
        </w:rPr>
        <w:t>s a well as</w:t>
      </w:r>
      <w:r>
        <w:rPr>
          <w:rFonts w:eastAsia="Times New Roman" w:cs="Arial"/>
          <w:color w:val="333333"/>
        </w:rPr>
        <w:t xml:space="preserve"> ongoing performance reporting and analysis of such accounts. </w:t>
      </w:r>
      <w:r w:rsidR="000328E7">
        <w:rPr>
          <w:rFonts w:eastAsia="Times New Roman" w:cs="Arial"/>
          <w:color w:val="333333"/>
        </w:rPr>
        <w:t xml:space="preserve">Our analysis is not only limited to gains and losses, but in depth analytics </w:t>
      </w:r>
      <w:r>
        <w:rPr>
          <w:rFonts w:eastAsia="Times New Roman" w:cs="Arial"/>
          <w:color w:val="333333"/>
        </w:rPr>
        <w:t xml:space="preserve"> </w:t>
      </w:r>
    </w:p>
    <w:p w:rsidR="001E2865" w:rsidRPr="001E2865" w:rsidRDefault="001E2865" w:rsidP="001E2865">
      <w:pPr>
        <w:shd w:val="clear" w:color="auto" w:fill="FFFFFF"/>
        <w:spacing w:after="150" w:line="240" w:lineRule="auto"/>
        <w:rPr>
          <w:rFonts w:eastAsia="Times New Roman" w:cs="Arial"/>
          <w:b/>
        </w:rPr>
      </w:pPr>
      <w:r w:rsidRPr="001E2865">
        <w:rPr>
          <w:rFonts w:eastAsia="Times New Roman" w:cs="Arial"/>
          <w:b/>
        </w:rPr>
        <w:t>What does your technology infrastructure look like?</w:t>
      </w:r>
      <w:r>
        <w:rPr>
          <w:rFonts w:eastAsia="Times New Roman" w:cs="Arial"/>
          <w:b/>
        </w:rPr>
        <w:t xml:space="preserve"> </w:t>
      </w:r>
      <w:r w:rsidRPr="001E2865">
        <w:rPr>
          <w:rFonts w:eastAsia="Times New Roman" w:cs="Arial"/>
        </w:rPr>
        <w:t>5</w:t>
      </w:r>
      <w:r w:rsidRPr="001E2865">
        <w:rPr>
          <w:rFonts w:eastAsia="Times New Roman" w:cs="Arial"/>
          <w:vertAlign w:val="superscript"/>
        </w:rPr>
        <w:t>th</w:t>
      </w:r>
      <w:r w:rsidRPr="001E2865">
        <w:rPr>
          <w:rFonts w:eastAsia="Times New Roman" w:cs="Arial"/>
        </w:rPr>
        <w:t xml:space="preserve"> Street Advisors uses best in class platforms to deliver our services, including Morningstar for performance reporting and research, Tamarac for trading, Riskalyze for personal risk assessment and portfolio risk analysis, and eMoney for financial planning. </w:t>
      </w:r>
    </w:p>
    <w:p w:rsidR="001E2865" w:rsidRPr="001E2865" w:rsidRDefault="001E2865" w:rsidP="001E2865">
      <w:pPr>
        <w:shd w:val="clear" w:color="auto" w:fill="FFFFFF"/>
        <w:spacing w:after="150" w:line="240" w:lineRule="auto"/>
        <w:rPr>
          <w:rFonts w:eastAsia="Times New Roman" w:cs="Arial"/>
          <w:b/>
        </w:rPr>
      </w:pPr>
      <w:r w:rsidRPr="001E2865">
        <w:rPr>
          <w:rFonts w:eastAsia="Times New Roman" w:cs="Arial"/>
          <w:b/>
        </w:rPr>
        <w:t>How do I access my financial accounts?</w:t>
      </w:r>
      <w:r w:rsidR="000328E7">
        <w:rPr>
          <w:rFonts w:eastAsia="Times New Roman" w:cs="Arial"/>
          <w:b/>
        </w:rPr>
        <w:t xml:space="preserve"> </w:t>
      </w:r>
      <w:r w:rsidRPr="001E2865">
        <w:rPr>
          <w:rFonts w:eastAsia="Times New Roman" w:cs="Arial"/>
        </w:rPr>
        <w:t>You can access your accounts online via the websites maintained by the custodian where you choose to keep your assets, either Schwab of Fidelity. 5</w:t>
      </w:r>
      <w:r w:rsidRPr="001E2865">
        <w:rPr>
          <w:rFonts w:eastAsia="Times New Roman" w:cs="Arial"/>
          <w:vertAlign w:val="superscript"/>
        </w:rPr>
        <w:t>th</w:t>
      </w:r>
      <w:r w:rsidRPr="001E2865">
        <w:rPr>
          <w:rFonts w:eastAsia="Times New Roman" w:cs="Arial"/>
        </w:rPr>
        <w:t xml:space="preserve"> Street clients also have access to a Morningstar portal providing more in depth performance reporting on their managed portfolios.</w:t>
      </w:r>
      <w:r w:rsidR="000328E7">
        <w:rPr>
          <w:rFonts w:eastAsia="Times New Roman" w:cs="Arial"/>
        </w:rPr>
        <w:t xml:space="preserve"> </w:t>
      </w:r>
      <w:r w:rsidRPr="001E2865">
        <w:rPr>
          <w:rFonts w:eastAsia="Times New Roman" w:cs="Arial"/>
        </w:rPr>
        <w:t>Additionally, our wealth management clients have access to an online wealth portal powered by eMoney, providing an aggregate view of all financial accounts, managed and unmanaged, as well as cash flow tracking, and other client specific financial details.</w:t>
      </w:r>
    </w:p>
    <w:p w:rsidR="001E2865" w:rsidRPr="001E2865" w:rsidRDefault="001E2865" w:rsidP="001E2865">
      <w:pPr>
        <w:shd w:val="clear" w:color="auto" w:fill="FFFFFF"/>
        <w:spacing w:after="150" w:line="240" w:lineRule="auto"/>
        <w:rPr>
          <w:rFonts w:eastAsia="Times New Roman" w:cs="Arial"/>
          <w:b/>
        </w:rPr>
      </w:pPr>
      <w:r w:rsidRPr="001E2865">
        <w:rPr>
          <w:rFonts w:eastAsia="Times New Roman" w:cs="Arial"/>
          <w:b/>
        </w:rPr>
        <w:t>How can I track the performance of my portfolio?</w:t>
      </w:r>
      <w:r w:rsidRPr="001E2865">
        <w:rPr>
          <w:rFonts w:eastAsia="Times New Roman" w:cs="Arial"/>
        </w:rPr>
        <w:t>5</w:t>
      </w:r>
      <w:r w:rsidRPr="001E2865">
        <w:rPr>
          <w:rFonts w:eastAsia="Times New Roman" w:cs="Arial"/>
          <w:vertAlign w:val="superscript"/>
        </w:rPr>
        <w:t>th</w:t>
      </w:r>
      <w:r w:rsidRPr="001E2865">
        <w:rPr>
          <w:rFonts w:eastAsia="Times New Roman" w:cs="Arial"/>
        </w:rPr>
        <w:t xml:space="preserve"> Street provides quarterly performance reports to supplement the regular account statements provided by your custodian, which can be accessed online or, by request, in paper. </w:t>
      </w:r>
    </w:p>
    <w:p w:rsidR="001E2865" w:rsidRPr="001E2865" w:rsidRDefault="001E2865" w:rsidP="001E2865">
      <w:pPr>
        <w:shd w:val="clear" w:color="auto" w:fill="FFFFFF"/>
        <w:spacing w:after="150" w:line="240" w:lineRule="auto"/>
        <w:rPr>
          <w:rFonts w:eastAsia="Times New Roman" w:cs="Arial"/>
          <w:b/>
        </w:rPr>
      </w:pPr>
      <w:r w:rsidRPr="001E2865">
        <w:rPr>
          <w:rFonts w:eastAsia="Times New Roman" w:cs="Arial"/>
          <w:b/>
        </w:rPr>
        <w:t>How often will I receive communications from 5</w:t>
      </w:r>
      <w:r w:rsidRPr="001E2865">
        <w:rPr>
          <w:rFonts w:eastAsia="Times New Roman" w:cs="Arial"/>
          <w:b/>
          <w:vertAlign w:val="superscript"/>
        </w:rPr>
        <w:t>th</w:t>
      </w:r>
      <w:r w:rsidRPr="001E2865">
        <w:rPr>
          <w:rFonts w:eastAsia="Times New Roman" w:cs="Arial"/>
          <w:b/>
        </w:rPr>
        <w:t xml:space="preserve"> Street?</w:t>
      </w:r>
      <w:r w:rsidR="000328E7">
        <w:rPr>
          <w:rFonts w:eastAsia="Times New Roman" w:cs="Arial"/>
          <w:b/>
        </w:rPr>
        <w:t xml:space="preserve"> </w:t>
      </w:r>
      <w:r w:rsidRPr="001E2865">
        <w:rPr>
          <w:rFonts w:eastAsia="Times New Roman" w:cs="Arial"/>
        </w:rPr>
        <w:t>5</w:t>
      </w:r>
      <w:r w:rsidRPr="001E2865">
        <w:rPr>
          <w:rFonts w:eastAsia="Times New Roman" w:cs="Arial"/>
          <w:vertAlign w:val="superscript"/>
        </w:rPr>
        <w:t>th</w:t>
      </w:r>
      <w:r w:rsidRPr="001E2865">
        <w:rPr>
          <w:rFonts w:eastAsia="Times New Roman" w:cs="Arial"/>
        </w:rPr>
        <w:t xml:space="preserve"> Street provides quarterly performance reports on each client account under management, as well as quarterly newsletters providing market insights and reviews. Additionally, we undertake an annual review of each client’s portfolios. </w:t>
      </w:r>
    </w:p>
    <w:p w:rsidR="001E2865" w:rsidRPr="001E2865" w:rsidRDefault="001E2865" w:rsidP="000328E7">
      <w:pPr>
        <w:shd w:val="clear" w:color="auto" w:fill="FFFFFF"/>
        <w:spacing w:after="150" w:line="240" w:lineRule="auto"/>
        <w:rPr>
          <w:rFonts w:eastAsia="Times New Roman" w:cs="Arial"/>
          <w:b/>
        </w:rPr>
      </w:pPr>
      <w:r w:rsidRPr="001E2865">
        <w:rPr>
          <w:rFonts w:eastAsia="Times New Roman" w:cs="Arial"/>
          <w:b/>
        </w:rPr>
        <w:t>How do I contact 5</w:t>
      </w:r>
      <w:r w:rsidRPr="001E2865">
        <w:rPr>
          <w:rFonts w:eastAsia="Times New Roman" w:cs="Arial"/>
          <w:b/>
          <w:vertAlign w:val="superscript"/>
        </w:rPr>
        <w:t>th</w:t>
      </w:r>
      <w:r w:rsidRPr="001E2865">
        <w:rPr>
          <w:rFonts w:eastAsia="Times New Roman" w:cs="Arial"/>
          <w:b/>
        </w:rPr>
        <w:t xml:space="preserve"> Street with </w:t>
      </w:r>
      <w:r w:rsidR="001A6DD2" w:rsidRPr="001E2865">
        <w:rPr>
          <w:rFonts w:eastAsia="Times New Roman" w:cs="Arial"/>
          <w:b/>
        </w:rPr>
        <w:t>questions?</w:t>
      </w:r>
      <w:r w:rsidR="001A6DD2" w:rsidRPr="001E2865">
        <w:t xml:space="preserve"> All</w:t>
      </w:r>
      <w:bookmarkStart w:id="0" w:name="_GoBack"/>
      <w:bookmarkEnd w:id="0"/>
      <w:r w:rsidRPr="001E2865">
        <w:t xml:space="preserve"> our clients receive concierge service and may contact us at any time via phone or email. We strive to respond to any question within 24 hours, but usually much sooner.</w:t>
      </w:r>
    </w:p>
    <w:p w:rsidR="001E2865" w:rsidRPr="001E2865" w:rsidRDefault="001E2865" w:rsidP="000328E7">
      <w:pPr>
        <w:shd w:val="clear" w:color="auto" w:fill="FFFFFF"/>
        <w:spacing w:after="150" w:line="240" w:lineRule="auto"/>
        <w:rPr>
          <w:rFonts w:eastAsia="Times New Roman" w:cs="Arial"/>
          <w:b/>
        </w:rPr>
      </w:pPr>
      <w:r w:rsidRPr="001E2865">
        <w:rPr>
          <w:rFonts w:eastAsia="Times New Roman" w:cs="Arial"/>
          <w:b/>
        </w:rPr>
        <w:t>Who will I work with?</w:t>
      </w:r>
      <w:r w:rsidR="000328E7">
        <w:rPr>
          <w:rFonts w:eastAsia="Times New Roman" w:cs="Arial"/>
          <w:b/>
        </w:rPr>
        <w:t xml:space="preserve"> </w:t>
      </w:r>
      <w:r w:rsidRPr="001E2865">
        <w:t>5</w:t>
      </w:r>
      <w:r w:rsidRPr="001E2865">
        <w:rPr>
          <w:vertAlign w:val="superscript"/>
        </w:rPr>
        <w:t>th</w:t>
      </w:r>
      <w:r w:rsidRPr="001E2865">
        <w:t xml:space="preserve"> Street’s team is comprised of seasoned professionals with years of experience and top credentials.  We work collaboratively to service all accounts, and most clients regularly communicate with more than one team member. </w:t>
      </w:r>
    </w:p>
    <w:p w:rsidR="00C26D84" w:rsidRPr="00D11020" w:rsidRDefault="00C26D84" w:rsidP="00D11020">
      <w:pPr>
        <w:rPr>
          <w:rFonts w:eastAsia="Times New Roman" w:cs="Arial"/>
          <w:color w:val="333333"/>
        </w:rPr>
      </w:pPr>
    </w:p>
    <w:sectPr w:rsidR="00C26D84" w:rsidRPr="00D11020" w:rsidSect="000D2D7C">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C0434"/>
    <w:multiLevelType w:val="hybridMultilevel"/>
    <w:tmpl w:val="CA26B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597D3F"/>
    <w:multiLevelType w:val="hybridMultilevel"/>
    <w:tmpl w:val="60F06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E12753"/>
    <w:multiLevelType w:val="hybridMultilevel"/>
    <w:tmpl w:val="3A4A83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A917012"/>
    <w:multiLevelType w:val="hybridMultilevel"/>
    <w:tmpl w:val="5986C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D04FEA"/>
    <w:multiLevelType w:val="hybridMultilevel"/>
    <w:tmpl w:val="C87AA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D7C"/>
    <w:rsid w:val="00013EFC"/>
    <w:rsid w:val="000328E7"/>
    <w:rsid w:val="000D2D7C"/>
    <w:rsid w:val="001A6DD2"/>
    <w:rsid w:val="001E2865"/>
    <w:rsid w:val="00341045"/>
    <w:rsid w:val="003761E6"/>
    <w:rsid w:val="004379BA"/>
    <w:rsid w:val="006B0C70"/>
    <w:rsid w:val="006D629A"/>
    <w:rsid w:val="006E757D"/>
    <w:rsid w:val="007A640B"/>
    <w:rsid w:val="007F6BB0"/>
    <w:rsid w:val="00820909"/>
    <w:rsid w:val="00823D7F"/>
    <w:rsid w:val="0083493D"/>
    <w:rsid w:val="0087159D"/>
    <w:rsid w:val="0096240E"/>
    <w:rsid w:val="00992E5D"/>
    <w:rsid w:val="00AE3DE1"/>
    <w:rsid w:val="00B40283"/>
    <w:rsid w:val="00BD59EF"/>
    <w:rsid w:val="00C26D84"/>
    <w:rsid w:val="00C6505B"/>
    <w:rsid w:val="00D11020"/>
    <w:rsid w:val="00EC1DB8"/>
    <w:rsid w:val="00F72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2D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2D7C"/>
    <w:rPr>
      <w:rFonts w:ascii="Tahoma" w:hAnsi="Tahoma" w:cs="Tahoma"/>
      <w:sz w:val="16"/>
      <w:szCs w:val="16"/>
    </w:rPr>
  </w:style>
  <w:style w:type="table" w:styleId="TableGrid">
    <w:name w:val="Table Grid"/>
    <w:basedOn w:val="TableNormal"/>
    <w:uiPriority w:val="59"/>
    <w:rsid w:val="00C26D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6D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2D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2D7C"/>
    <w:rPr>
      <w:rFonts w:ascii="Tahoma" w:hAnsi="Tahoma" w:cs="Tahoma"/>
      <w:sz w:val="16"/>
      <w:szCs w:val="16"/>
    </w:rPr>
  </w:style>
  <w:style w:type="table" w:styleId="TableGrid">
    <w:name w:val="Table Grid"/>
    <w:basedOn w:val="TableNormal"/>
    <w:uiPriority w:val="59"/>
    <w:rsid w:val="00C26D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6D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chart" Target="charts/chart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diagramData" Target="diagrams/data1.xml"/><Relationship Id="rId12" Type="http://schemas.openxmlformats.org/officeDocument/2006/relationships/chart" Target="charts/chart1.xm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diagramDrawing" Target="diagrams/drawing1.xml"/><Relationship Id="rId5" Type="http://schemas.openxmlformats.org/officeDocument/2006/relationships/settings" Target="settings.xml"/><Relationship Id="rId15" Type="http://schemas.openxmlformats.org/officeDocument/2006/relationships/chart" Target="charts/chart4.xml"/><Relationship Id="rId10" Type="http://schemas.openxmlformats.org/officeDocument/2006/relationships/diagramColors" Target="diagrams/colors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diagramQuickStyle" Target="diagrams/quickStyle1.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200"/>
          </a:pPr>
          <a:endParaRPr lang="en-US"/>
        </a:p>
      </c:txPr>
    </c:title>
    <c:autoTitleDeleted val="0"/>
    <c:plotArea>
      <c:layout/>
      <c:pieChart>
        <c:varyColors val="1"/>
        <c:ser>
          <c:idx val="0"/>
          <c:order val="0"/>
          <c:tx>
            <c:strRef>
              <c:f>Sheet1!$A$2</c:f>
              <c:strCache>
                <c:ptCount val="1"/>
                <c:pt idx="0">
                  <c:v>Captial Preservation</c:v>
                </c:pt>
              </c:strCache>
            </c:strRef>
          </c:tx>
          <c:cat>
            <c:strRef>
              <c:f>Sheet1!$B$1:$C$1</c:f>
              <c:strCache>
                <c:ptCount val="2"/>
                <c:pt idx="0">
                  <c:v>bond</c:v>
                </c:pt>
                <c:pt idx="1">
                  <c:v>equity</c:v>
                </c:pt>
              </c:strCache>
            </c:strRef>
          </c:cat>
          <c:val>
            <c:numRef>
              <c:f>Sheet1!$B$2:$C$2</c:f>
              <c:numCache>
                <c:formatCode>General</c:formatCode>
                <c:ptCount val="2"/>
                <c:pt idx="0">
                  <c:v>80</c:v>
                </c:pt>
                <c:pt idx="1">
                  <c:v>20</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Income with Growth</a:t>
            </a:r>
          </a:p>
        </c:rich>
      </c:tx>
      <c:overlay val="0"/>
    </c:title>
    <c:autoTitleDeleted val="0"/>
    <c:plotArea>
      <c:layout/>
      <c:pieChart>
        <c:varyColors val="1"/>
        <c:ser>
          <c:idx val="0"/>
          <c:order val="0"/>
          <c:tx>
            <c:strRef>
              <c:f>Sheet1!$A$3</c:f>
              <c:strCache>
                <c:ptCount val="1"/>
                <c:pt idx="0">
                  <c:v>Income With Growth</c:v>
                </c:pt>
              </c:strCache>
            </c:strRef>
          </c:tx>
          <c:val>
            <c:numRef>
              <c:f>Sheet1!$B$3:$C$3</c:f>
              <c:numCache>
                <c:formatCode>General</c:formatCode>
                <c:ptCount val="2"/>
                <c:pt idx="0">
                  <c:v>60</c:v>
                </c:pt>
                <c:pt idx="1">
                  <c:v>40</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200"/>
          </a:pPr>
          <a:endParaRPr lang="en-US"/>
        </a:p>
      </c:txPr>
    </c:title>
    <c:autoTitleDeleted val="0"/>
    <c:plotArea>
      <c:layout/>
      <c:pieChart>
        <c:varyColors val="1"/>
        <c:ser>
          <c:idx val="0"/>
          <c:order val="0"/>
          <c:tx>
            <c:strRef>
              <c:f>Sheet1!$A$4</c:f>
              <c:strCache>
                <c:ptCount val="1"/>
                <c:pt idx="0">
                  <c:v>Captial Appreciation with Income</c:v>
                </c:pt>
              </c:strCache>
            </c:strRef>
          </c:tx>
          <c:val>
            <c:numRef>
              <c:f>Sheet1!$B$4:$C$4</c:f>
              <c:numCache>
                <c:formatCode>General</c:formatCode>
                <c:ptCount val="2"/>
                <c:pt idx="0">
                  <c:v>40</c:v>
                </c:pt>
                <c:pt idx="1">
                  <c:v>60</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200"/>
          </a:pPr>
          <a:endParaRPr lang="en-US"/>
        </a:p>
      </c:txPr>
    </c:title>
    <c:autoTitleDeleted val="0"/>
    <c:plotArea>
      <c:layout/>
      <c:pieChart>
        <c:varyColors val="1"/>
        <c:ser>
          <c:idx val="0"/>
          <c:order val="0"/>
          <c:tx>
            <c:strRef>
              <c:f>Sheet1!$A$5</c:f>
              <c:strCache>
                <c:ptCount val="1"/>
                <c:pt idx="0">
                  <c:v>Capital Appreciation </c:v>
                </c:pt>
              </c:strCache>
            </c:strRef>
          </c:tx>
          <c:val>
            <c:numRef>
              <c:f>Sheet1!$B$5:$C$5</c:f>
              <c:numCache>
                <c:formatCode>General</c:formatCode>
                <c:ptCount val="2"/>
                <c:pt idx="0">
                  <c:v>20</c:v>
                </c:pt>
                <c:pt idx="1">
                  <c:v>80</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6048C6A-4FD1-414D-8CBB-7D45221F09F1}" type="doc">
      <dgm:prSet loTypeId="urn:microsoft.com/office/officeart/2009/3/layout/RandomtoResultProcess" loCatId="process" qsTypeId="urn:microsoft.com/office/officeart/2005/8/quickstyle/simple1" qsCatId="simple" csTypeId="urn:microsoft.com/office/officeart/2005/8/colors/colorful1" csCatId="colorful" phldr="1"/>
      <dgm:spPr/>
      <dgm:t>
        <a:bodyPr/>
        <a:lstStyle/>
        <a:p>
          <a:endParaRPr lang="en-US"/>
        </a:p>
      </dgm:t>
    </dgm:pt>
    <dgm:pt modelId="{57887A06-B0E9-4AF0-AC18-BB074B5BE11B}">
      <dgm:prSet phldrT="[Text]"/>
      <dgm:spPr>
        <a:xfrm>
          <a:off x="97405" y="612681"/>
          <a:ext cx="1444311" cy="475966"/>
        </a:xfrm>
        <a:noFill/>
        <a:ln>
          <a:noFill/>
        </a:ln>
        <a:effectLst/>
      </dgm:spPr>
      <dgm:t>
        <a:bodyPr/>
        <a:lstStyle/>
        <a:p>
          <a:r>
            <a:rPr lang="en-US">
              <a:solidFill>
                <a:sysClr val="windowText" lastClr="000000">
                  <a:hueOff val="0"/>
                  <a:satOff val="0"/>
                  <a:lumOff val="0"/>
                  <a:alphaOff val="0"/>
                </a:sysClr>
              </a:solidFill>
              <a:latin typeface="Calibri"/>
              <a:ea typeface="+mn-ea"/>
              <a:cs typeface="+mn-cs"/>
            </a:rPr>
            <a:t>You, Your Family, Your Goals, Your Needs, Your Dreams</a:t>
          </a:r>
        </a:p>
      </dgm:t>
    </dgm:pt>
    <dgm:pt modelId="{C5128A41-C184-4067-9C88-2C801438B31B}" type="parTrans" cxnId="{C67E3935-B5BA-4B49-B00E-10C82A4527F0}">
      <dgm:prSet/>
      <dgm:spPr/>
      <dgm:t>
        <a:bodyPr/>
        <a:lstStyle/>
        <a:p>
          <a:endParaRPr lang="en-US"/>
        </a:p>
      </dgm:t>
    </dgm:pt>
    <dgm:pt modelId="{58894901-7C83-4163-A7A8-CA3A841256CD}" type="sibTrans" cxnId="{C67E3935-B5BA-4B49-B00E-10C82A4527F0}">
      <dgm:prSet/>
      <dgm:spPr/>
      <dgm:t>
        <a:bodyPr/>
        <a:lstStyle/>
        <a:p>
          <a:endParaRPr lang="en-US"/>
        </a:p>
      </dgm:t>
    </dgm:pt>
    <dgm:pt modelId="{F70D0F7B-2279-4E0C-A319-7E713E8C74CB}">
      <dgm:prSet phldrT="[Text]"/>
      <dgm:spPr>
        <a:xfrm>
          <a:off x="2446715" y="255325"/>
          <a:ext cx="1229139" cy="1229139"/>
        </a:xfr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Goal Aligned Portfolio Solutions</a:t>
          </a:r>
        </a:p>
      </dgm:t>
    </dgm:pt>
    <dgm:pt modelId="{0569D6BE-AD1A-43C6-A28D-E07D537BC7EB}" type="parTrans" cxnId="{E3E1E121-30A6-4B04-B180-B73D5BB50EBD}">
      <dgm:prSet/>
      <dgm:spPr/>
      <dgm:t>
        <a:bodyPr/>
        <a:lstStyle/>
        <a:p>
          <a:endParaRPr lang="en-US"/>
        </a:p>
      </dgm:t>
    </dgm:pt>
    <dgm:pt modelId="{FBA29817-9B2C-4947-BF54-B9356CF2BF81}" type="sibTrans" cxnId="{E3E1E121-30A6-4B04-B180-B73D5BB50EBD}">
      <dgm:prSet/>
      <dgm:spPr/>
      <dgm:t>
        <a:bodyPr/>
        <a:lstStyle/>
        <a:p>
          <a:endParaRPr lang="en-US"/>
        </a:p>
      </dgm:t>
    </dgm:pt>
    <dgm:pt modelId="{5789BBB6-49B1-4B4D-88B2-4902A245D73B}">
      <dgm:prSet phldrT="[Text]"/>
      <dgm:spPr>
        <a:xfrm>
          <a:off x="97405" y="1616330"/>
          <a:ext cx="1444311" cy="891728"/>
        </a:xfrm>
        <a:noFill/>
        <a:ln>
          <a:noFill/>
        </a:ln>
        <a:effectLst/>
      </dgm:spPr>
      <dgm:t>
        <a:bodyPr/>
        <a:lstStyle/>
        <a:p>
          <a:endParaRPr lang="en-US">
            <a:solidFill>
              <a:sysClr val="windowText" lastClr="000000">
                <a:hueOff val="0"/>
                <a:satOff val="0"/>
                <a:lumOff val="0"/>
                <a:alphaOff val="0"/>
              </a:sysClr>
            </a:solidFill>
            <a:latin typeface="Calibri"/>
            <a:ea typeface="+mn-ea"/>
            <a:cs typeface="+mn-cs"/>
          </a:endParaRPr>
        </a:p>
      </dgm:t>
    </dgm:pt>
    <dgm:pt modelId="{29DA8BAA-E489-4FD2-B443-8971F1996202}" type="sibTrans" cxnId="{4EFC1F99-AB7C-4C84-94D8-BCBF9CAF256E}">
      <dgm:prSet/>
      <dgm:spPr/>
      <dgm:t>
        <a:bodyPr/>
        <a:lstStyle/>
        <a:p>
          <a:endParaRPr lang="en-US"/>
        </a:p>
      </dgm:t>
    </dgm:pt>
    <dgm:pt modelId="{F1CADB5E-2CBC-4322-875C-76C78E79DC0B}" type="parTrans" cxnId="{4EFC1F99-AB7C-4C84-94D8-BCBF9CAF256E}">
      <dgm:prSet/>
      <dgm:spPr/>
      <dgm:t>
        <a:bodyPr/>
        <a:lstStyle/>
        <a:p>
          <a:endParaRPr lang="en-US"/>
        </a:p>
      </dgm:t>
    </dgm:pt>
    <dgm:pt modelId="{29C26180-77B3-40AE-BBB3-C5E122437BA5}" type="pres">
      <dgm:prSet presAssocID="{36048C6A-4FD1-414D-8CBB-7D45221F09F1}" presName="Name0" presStyleCnt="0">
        <dgm:presLayoutVars>
          <dgm:dir/>
          <dgm:animOne val="branch"/>
          <dgm:animLvl val="lvl"/>
        </dgm:presLayoutVars>
      </dgm:prSet>
      <dgm:spPr/>
      <dgm:t>
        <a:bodyPr/>
        <a:lstStyle/>
        <a:p>
          <a:endParaRPr lang="en-US"/>
        </a:p>
      </dgm:t>
    </dgm:pt>
    <dgm:pt modelId="{47C7D25C-255C-4AF9-AFD8-E9E07ADF29C8}" type="pres">
      <dgm:prSet presAssocID="{57887A06-B0E9-4AF0-AC18-BB074B5BE11B}" presName="chaos" presStyleCnt="0"/>
      <dgm:spPr/>
      <dgm:t>
        <a:bodyPr/>
        <a:lstStyle/>
        <a:p>
          <a:endParaRPr lang="en-US"/>
        </a:p>
      </dgm:t>
    </dgm:pt>
    <dgm:pt modelId="{F02BE8AE-6B00-4772-B785-50AF1F48057F}" type="pres">
      <dgm:prSet presAssocID="{57887A06-B0E9-4AF0-AC18-BB074B5BE11B}" presName="parTx1" presStyleLbl="revTx" presStyleIdx="0" presStyleCnt="2"/>
      <dgm:spPr>
        <a:prstGeom prst="rect">
          <a:avLst/>
        </a:prstGeom>
      </dgm:spPr>
      <dgm:t>
        <a:bodyPr/>
        <a:lstStyle/>
        <a:p>
          <a:endParaRPr lang="en-US"/>
        </a:p>
      </dgm:t>
    </dgm:pt>
    <dgm:pt modelId="{9D201257-846D-4597-AF7F-49D780AC0A74}" type="pres">
      <dgm:prSet presAssocID="{57887A06-B0E9-4AF0-AC18-BB074B5BE11B}" presName="desTx1" presStyleLbl="revTx" presStyleIdx="1" presStyleCnt="2">
        <dgm:presLayoutVars>
          <dgm:bulletEnabled val="1"/>
        </dgm:presLayoutVars>
      </dgm:prSet>
      <dgm:spPr>
        <a:prstGeom prst="rect">
          <a:avLst/>
        </a:prstGeom>
      </dgm:spPr>
      <dgm:t>
        <a:bodyPr/>
        <a:lstStyle/>
        <a:p>
          <a:endParaRPr lang="en-US"/>
        </a:p>
      </dgm:t>
    </dgm:pt>
    <dgm:pt modelId="{CF521174-1EAE-4BB5-A6A5-1D082F6B83AD}" type="pres">
      <dgm:prSet presAssocID="{57887A06-B0E9-4AF0-AC18-BB074B5BE11B}" presName="c1" presStyleLbl="node1" presStyleIdx="0" presStyleCnt="19"/>
      <dgm:spPr>
        <a:xfrm>
          <a:off x="95764" y="467921"/>
          <a:ext cx="114888" cy="114888"/>
        </a:xfrm>
        <a:prstGeom prst="ellipse">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CF4F117B-4802-4035-B309-5726AA555C38}" type="pres">
      <dgm:prSet presAssocID="{57887A06-B0E9-4AF0-AC18-BB074B5BE11B}" presName="c2" presStyleLbl="node1" presStyleIdx="1" presStyleCnt="19"/>
      <dgm:spPr>
        <a:xfrm>
          <a:off x="176186" y="307077"/>
          <a:ext cx="114888" cy="114888"/>
        </a:xfrm>
        <a:prstGeom prst="ellipse">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315B9090-60F5-4757-BD09-93EB3F83F6BA}" type="pres">
      <dgm:prSet presAssocID="{57887A06-B0E9-4AF0-AC18-BB074B5BE11B}" presName="c3" presStyleLbl="node1" presStyleIdx="2" presStyleCnt="19"/>
      <dgm:spPr>
        <a:xfrm>
          <a:off x="369199" y="339246"/>
          <a:ext cx="180538" cy="180538"/>
        </a:xfrm>
        <a:prstGeom prst="ellipse">
          <a:avLst/>
        </a:prstGeom>
        <a:solidFill>
          <a:srgbClr val="8064A2">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74A113CD-D125-49CB-A416-EA35E4B9CAAD}" type="pres">
      <dgm:prSet presAssocID="{57887A06-B0E9-4AF0-AC18-BB074B5BE11B}" presName="c4" presStyleLbl="node1" presStyleIdx="3" presStyleCnt="19"/>
      <dgm:spPr>
        <a:xfrm>
          <a:off x="530042" y="162318"/>
          <a:ext cx="114888" cy="114888"/>
        </a:xfrm>
        <a:prstGeom prst="ellipse">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690241B6-AF03-4F24-B784-604E0614C2DA}" type="pres">
      <dgm:prSet presAssocID="{57887A06-B0E9-4AF0-AC18-BB074B5BE11B}" presName="c5" presStyleLbl="node1" presStyleIdx="4" presStyleCnt="19"/>
      <dgm:spPr>
        <a:xfrm>
          <a:off x="739139" y="97980"/>
          <a:ext cx="114888" cy="114888"/>
        </a:xfrm>
        <a:prstGeom prst="ellipse">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7548C38F-EA1E-4C37-BCAE-0719F244E49E}" type="pres">
      <dgm:prSet presAssocID="{57887A06-B0E9-4AF0-AC18-BB074B5BE11B}" presName="c6" presStyleLbl="node1" presStyleIdx="5" presStyleCnt="19"/>
      <dgm:spPr>
        <a:xfrm>
          <a:off x="996489" y="210571"/>
          <a:ext cx="114888" cy="114888"/>
        </a:xfrm>
        <a:prstGeom prst="ellipse">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2D0DC3C9-172E-4550-9378-BEE7943BBC84}" type="pres">
      <dgm:prSet presAssocID="{57887A06-B0E9-4AF0-AC18-BB074B5BE11B}" presName="c7" presStyleLbl="node1" presStyleIdx="6" presStyleCnt="19"/>
      <dgm:spPr>
        <a:xfrm>
          <a:off x="1157333" y="290993"/>
          <a:ext cx="180538" cy="180538"/>
        </a:xfrm>
        <a:prstGeom prst="ellipse">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ABEBCC67-EA65-40DD-971D-BD4375935A28}" type="pres">
      <dgm:prSet presAssocID="{57887A06-B0E9-4AF0-AC18-BB074B5BE11B}" presName="c8" presStyleLbl="node1" presStyleIdx="7" presStyleCnt="19"/>
      <dgm:spPr>
        <a:xfrm>
          <a:off x="1382514" y="467921"/>
          <a:ext cx="114888" cy="114888"/>
        </a:xfrm>
        <a:prstGeom prst="ellipse">
          <a:avLst/>
        </a:prstGeom>
        <a:solidFill>
          <a:srgbClr val="8064A2">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6A4E1234-834E-455B-A4EE-347A7C26C9A7}" type="pres">
      <dgm:prSet presAssocID="{57887A06-B0E9-4AF0-AC18-BB074B5BE11B}" presName="c9" presStyleLbl="node1" presStyleIdx="8" presStyleCnt="19"/>
      <dgm:spPr>
        <a:xfrm>
          <a:off x="1479021" y="644849"/>
          <a:ext cx="114888" cy="114888"/>
        </a:xfrm>
        <a:prstGeom prst="ellipse">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24597414-CF0F-4BF8-BAB9-9368922AC865}" type="pres">
      <dgm:prSet presAssocID="{57887A06-B0E9-4AF0-AC18-BB074B5BE11B}" presName="c10" presStyleLbl="node1" presStyleIdx="9" presStyleCnt="19"/>
      <dgm:spPr>
        <a:xfrm>
          <a:off x="642633" y="307077"/>
          <a:ext cx="295427" cy="295427"/>
        </a:xfrm>
        <a:prstGeom prst="ellipse">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5AD4EEAD-820C-45A5-B1F1-AED2C5FCA0B5}" type="pres">
      <dgm:prSet presAssocID="{57887A06-B0E9-4AF0-AC18-BB074B5BE11B}" presName="c11" presStyleLbl="node1" presStyleIdx="10" presStyleCnt="19"/>
      <dgm:spPr>
        <a:xfrm>
          <a:off x="15342" y="918284"/>
          <a:ext cx="114888" cy="114888"/>
        </a:xfrm>
        <a:prstGeom prst="ellipse">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07DB8BB1-6F68-43F2-8758-D1629E0ADF5F}" type="pres">
      <dgm:prSet presAssocID="{57887A06-B0E9-4AF0-AC18-BB074B5BE11B}" presName="c12" presStyleLbl="node1" presStyleIdx="11" presStyleCnt="19"/>
      <dgm:spPr>
        <a:xfrm>
          <a:off x="111848" y="1063043"/>
          <a:ext cx="180538" cy="180538"/>
        </a:xfrm>
        <a:prstGeom prst="ellipse">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EBFF9D95-E73F-4E71-ACA6-679F9D4258A4}" type="pres">
      <dgm:prSet presAssocID="{57887A06-B0E9-4AF0-AC18-BB074B5BE11B}" presName="c13" presStyleLbl="node1" presStyleIdx="12" presStyleCnt="19"/>
      <dgm:spPr>
        <a:xfrm>
          <a:off x="353114" y="1191718"/>
          <a:ext cx="262602" cy="262602"/>
        </a:xfrm>
        <a:prstGeom prst="ellipse">
          <a:avLst/>
        </a:prstGeom>
        <a:solidFill>
          <a:srgbClr val="8064A2">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9322AADE-B4D4-48C4-B9B5-DECC03544456}" type="pres">
      <dgm:prSet presAssocID="{57887A06-B0E9-4AF0-AC18-BB074B5BE11B}" presName="c14" presStyleLbl="node1" presStyleIdx="13" presStyleCnt="19"/>
      <dgm:spPr>
        <a:xfrm>
          <a:off x="690886" y="1400815"/>
          <a:ext cx="114888" cy="114888"/>
        </a:xfrm>
        <a:prstGeom prst="ellipse">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B8E15D0C-96C6-4A14-A7AE-4648CC7153C2}" type="pres">
      <dgm:prSet presAssocID="{57887A06-B0E9-4AF0-AC18-BB074B5BE11B}" presName="c15" presStyleLbl="node1" presStyleIdx="14" presStyleCnt="19"/>
      <dgm:spPr>
        <a:xfrm>
          <a:off x="755224" y="1191718"/>
          <a:ext cx="180538" cy="180538"/>
        </a:xfrm>
        <a:prstGeom prst="ellipse">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CC9BF78F-47DC-4511-9778-560D43F445CB}" type="pres">
      <dgm:prSet presAssocID="{57887A06-B0E9-4AF0-AC18-BB074B5BE11B}" presName="c16" presStyleLbl="node1" presStyleIdx="15" presStyleCnt="19"/>
      <dgm:spPr>
        <a:xfrm>
          <a:off x="916067" y="1416900"/>
          <a:ext cx="114888" cy="114888"/>
        </a:xfrm>
        <a:prstGeom prst="ellipse">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3CCA220B-2C39-476F-87A5-5715BAF5AB64}" type="pres">
      <dgm:prSet presAssocID="{57887A06-B0E9-4AF0-AC18-BB074B5BE11B}" presName="c17" presStyleLbl="node1" presStyleIdx="16" presStyleCnt="19"/>
      <dgm:spPr>
        <a:xfrm>
          <a:off x="1060827" y="1159549"/>
          <a:ext cx="262602" cy="262602"/>
        </a:xfrm>
        <a:prstGeom prst="ellipse">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5E83D13A-B181-42CA-B1BB-7FC70B7D08BC}" type="pres">
      <dgm:prSet presAssocID="{57887A06-B0E9-4AF0-AC18-BB074B5BE11B}" presName="c18" presStyleLbl="node1" presStyleIdx="17" presStyleCnt="19"/>
      <dgm:spPr>
        <a:xfrm>
          <a:off x="1414683" y="1095212"/>
          <a:ext cx="180538" cy="180538"/>
        </a:xfrm>
        <a:prstGeom prst="ellipse">
          <a:avLst/>
        </a:prstGeom>
        <a:solidFill>
          <a:srgbClr val="8064A2">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3F91988A-1FEE-4217-ACA0-5ED20EBEEC15}" type="pres">
      <dgm:prSet presAssocID="{58894901-7C83-4163-A7A8-CA3A841256CD}" presName="chevronComposite1" presStyleCnt="0"/>
      <dgm:spPr/>
      <dgm:t>
        <a:bodyPr/>
        <a:lstStyle/>
        <a:p>
          <a:endParaRPr lang="en-US"/>
        </a:p>
      </dgm:t>
    </dgm:pt>
    <dgm:pt modelId="{46E80541-4962-4738-BF22-954D47D8D669}" type="pres">
      <dgm:prSet presAssocID="{58894901-7C83-4163-A7A8-CA3A841256CD}" presName="chevron1" presStyleLbl="sibTrans2D1" presStyleIdx="0" presStyleCnt="2" custScaleX="65235" custScaleY="67119"/>
      <dgm:spPr>
        <a:xfrm>
          <a:off x="1687387" y="505396"/>
          <a:ext cx="345887" cy="679406"/>
        </a:xfrm>
        <a:prstGeom prst="chevron">
          <a:avLst>
            <a:gd name="adj" fmla="val 62310"/>
          </a:avLst>
        </a:prstGeom>
        <a:solidFill>
          <a:srgbClr val="C0504D">
            <a:hueOff val="0"/>
            <a:satOff val="0"/>
            <a:lumOff val="0"/>
            <a:alphaOff val="0"/>
          </a:srgbClr>
        </a:solidFill>
        <a:ln>
          <a:noFill/>
        </a:ln>
        <a:effectLst/>
      </dgm:spPr>
      <dgm:t>
        <a:bodyPr/>
        <a:lstStyle/>
        <a:p>
          <a:endParaRPr lang="en-US"/>
        </a:p>
      </dgm:t>
    </dgm:pt>
    <dgm:pt modelId="{05777A12-E8DF-44FB-97B0-F391CBCEC323}" type="pres">
      <dgm:prSet presAssocID="{58894901-7C83-4163-A7A8-CA3A841256CD}" presName="spChevron1" presStyleCnt="0"/>
      <dgm:spPr/>
      <dgm:t>
        <a:bodyPr/>
        <a:lstStyle/>
        <a:p>
          <a:endParaRPr lang="en-US"/>
        </a:p>
      </dgm:t>
    </dgm:pt>
    <dgm:pt modelId="{6EF57831-8FAD-41D4-AADA-59E282B143B5}" type="pres">
      <dgm:prSet presAssocID="{58894901-7C83-4163-A7A8-CA3A841256CD}" presName="overlap" presStyleCnt="0"/>
      <dgm:spPr/>
      <dgm:t>
        <a:bodyPr/>
        <a:lstStyle/>
        <a:p>
          <a:endParaRPr lang="en-US"/>
        </a:p>
      </dgm:t>
    </dgm:pt>
    <dgm:pt modelId="{67A5DCFA-36B8-40B6-841F-A0A059C996B6}" type="pres">
      <dgm:prSet presAssocID="{58894901-7C83-4163-A7A8-CA3A841256CD}" presName="chevronComposite2" presStyleCnt="0"/>
      <dgm:spPr/>
      <dgm:t>
        <a:bodyPr/>
        <a:lstStyle/>
        <a:p>
          <a:endParaRPr lang="en-US"/>
        </a:p>
      </dgm:t>
    </dgm:pt>
    <dgm:pt modelId="{B662EC21-DFB9-49D5-A2AB-7361463D1711}" type="pres">
      <dgm:prSet presAssocID="{58894901-7C83-4163-A7A8-CA3A841256CD}" presName="chevron2" presStyleLbl="sibTrans2D1" presStyleIdx="1" presStyleCnt="2" custScaleX="70497" custScaleY="82991"/>
      <dgm:spPr>
        <a:xfrm>
          <a:off x="2015086" y="425065"/>
          <a:ext cx="373787" cy="840070"/>
        </a:xfrm>
        <a:prstGeom prst="chevron">
          <a:avLst>
            <a:gd name="adj" fmla="val 62310"/>
          </a:avLst>
        </a:prstGeom>
        <a:solidFill>
          <a:srgbClr val="9BBB59">
            <a:hueOff val="0"/>
            <a:satOff val="0"/>
            <a:lumOff val="0"/>
            <a:alphaOff val="0"/>
          </a:srgbClr>
        </a:solidFill>
        <a:ln>
          <a:noFill/>
        </a:ln>
        <a:effectLst/>
      </dgm:spPr>
      <dgm:t>
        <a:bodyPr/>
        <a:lstStyle/>
        <a:p>
          <a:endParaRPr lang="en-US"/>
        </a:p>
      </dgm:t>
    </dgm:pt>
    <dgm:pt modelId="{672FEA70-073D-4C5F-8121-21EB7C9E2737}" type="pres">
      <dgm:prSet presAssocID="{58894901-7C83-4163-A7A8-CA3A841256CD}" presName="spChevron2" presStyleCnt="0"/>
      <dgm:spPr/>
      <dgm:t>
        <a:bodyPr/>
        <a:lstStyle/>
        <a:p>
          <a:endParaRPr lang="en-US"/>
        </a:p>
      </dgm:t>
    </dgm:pt>
    <dgm:pt modelId="{6D5412EA-7274-4A93-BA40-6D0B6FF65FA6}" type="pres">
      <dgm:prSet presAssocID="{F70D0F7B-2279-4E0C-A319-7E713E8C74CB}" presName="last" presStyleCnt="0"/>
      <dgm:spPr/>
      <dgm:t>
        <a:bodyPr/>
        <a:lstStyle/>
        <a:p>
          <a:endParaRPr lang="en-US"/>
        </a:p>
      </dgm:t>
    </dgm:pt>
    <dgm:pt modelId="{130C6055-311F-4D8F-8F28-B0DF124D5A86}" type="pres">
      <dgm:prSet presAssocID="{F70D0F7B-2279-4E0C-A319-7E713E8C74CB}" presName="circleTx" presStyleLbl="node1" presStyleIdx="18" presStyleCnt="19"/>
      <dgm:spPr>
        <a:prstGeom prst="ellipse">
          <a:avLst/>
        </a:prstGeom>
      </dgm:spPr>
      <dgm:t>
        <a:bodyPr/>
        <a:lstStyle/>
        <a:p>
          <a:endParaRPr lang="en-US"/>
        </a:p>
      </dgm:t>
    </dgm:pt>
    <dgm:pt modelId="{88F06069-AD57-4B19-82E0-0DAA3B6AC247}" type="pres">
      <dgm:prSet presAssocID="{F70D0F7B-2279-4E0C-A319-7E713E8C74CB}" presName="spN" presStyleCnt="0"/>
      <dgm:spPr/>
      <dgm:t>
        <a:bodyPr/>
        <a:lstStyle/>
        <a:p>
          <a:endParaRPr lang="en-US"/>
        </a:p>
      </dgm:t>
    </dgm:pt>
  </dgm:ptLst>
  <dgm:cxnLst>
    <dgm:cxn modelId="{C67E3935-B5BA-4B49-B00E-10C82A4527F0}" srcId="{36048C6A-4FD1-414D-8CBB-7D45221F09F1}" destId="{57887A06-B0E9-4AF0-AC18-BB074B5BE11B}" srcOrd="0" destOrd="0" parTransId="{C5128A41-C184-4067-9C88-2C801438B31B}" sibTransId="{58894901-7C83-4163-A7A8-CA3A841256CD}"/>
    <dgm:cxn modelId="{4EFC1F99-AB7C-4C84-94D8-BCBF9CAF256E}" srcId="{57887A06-B0E9-4AF0-AC18-BB074B5BE11B}" destId="{5789BBB6-49B1-4B4D-88B2-4902A245D73B}" srcOrd="0" destOrd="0" parTransId="{F1CADB5E-2CBC-4322-875C-76C78E79DC0B}" sibTransId="{29DA8BAA-E489-4FD2-B443-8971F1996202}"/>
    <dgm:cxn modelId="{748FABF5-4890-45C4-BAAD-B2622930D1CB}" type="presOf" srcId="{36048C6A-4FD1-414D-8CBB-7D45221F09F1}" destId="{29C26180-77B3-40AE-BBB3-C5E122437BA5}" srcOrd="0" destOrd="0" presId="urn:microsoft.com/office/officeart/2009/3/layout/RandomtoResultProcess"/>
    <dgm:cxn modelId="{175A53F4-C844-4A92-9861-987A705B322C}" type="presOf" srcId="{F70D0F7B-2279-4E0C-A319-7E713E8C74CB}" destId="{130C6055-311F-4D8F-8F28-B0DF124D5A86}" srcOrd="0" destOrd="0" presId="urn:microsoft.com/office/officeart/2009/3/layout/RandomtoResultProcess"/>
    <dgm:cxn modelId="{D6154807-291E-4718-BFC4-3FA0341FCACF}" type="presOf" srcId="{57887A06-B0E9-4AF0-AC18-BB074B5BE11B}" destId="{F02BE8AE-6B00-4772-B785-50AF1F48057F}" srcOrd="0" destOrd="0" presId="urn:microsoft.com/office/officeart/2009/3/layout/RandomtoResultProcess"/>
    <dgm:cxn modelId="{E3E1E121-30A6-4B04-B180-B73D5BB50EBD}" srcId="{36048C6A-4FD1-414D-8CBB-7D45221F09F1}" destId="{F70D0F7B-2279-4E0C-A319-7E713E8C74CB}" srcOrd="1" destOrd="0" parTransId="{0569D6BE-AD1A-43C6-A28D-E07D537BC7EB}" sibTransId="{FBA29817-9B2C-4947-BF54-B9356CF2BF81}"/>
    <dgm:cxn modelId="{6A59870C-9041-4B50-87CC-0AC4EAA88961}" type="presOf" srcId="{5789BBB6-49B1-4B4D-88B2-4902A245D73B}" destId="{9D201257-846D-4597-AF7F-49D780AC0A74}" srcOrd="0" destOrd="0" presId="urn:microsoft.com/office/officeart/2009/3/layout/RandomtoResultProcess"/>
    <dgm:cxn modelId="{0FBA08FC-5EB1-47D5-82F7-932E522532EE}" type="presParOf" srcId="{29C26180-77B3-40AE-BBB3-C5E122437BA5}" destId="{47C7D25C-255C-4AF9-AFD8-E9E07ADF29C8}" srcOrd="0" destOrd="0" presId="urn:microsoft.com/office/officeart/2009/3/layout/RandomtoResultProcess"/>
    <dgm:cxn modelId="{F7D1BE44-14CF-46D7-BCC4-B676DED92454}" type="presParOf" srcId="{47C7D25C-255C-4AF9-AFD8-E9E07ADF29C8}" destId="{F02BE8AE-6B00-4772-B785-50AF1F48057F}" srcOrd="0" destOrd="0" presId="urn:microsoft.com/office/officeart/2009/3/layout/RandomtoResultProcess"/>
    <dgm:cxn modelId="{27879633-CB26-466F-ABF8-D5DEEF046E0C}" type="presParOf" srcId="{47C7D25C-255C-4AF9-AFD8-E9E07ADF29C8}" destId="{9D201257-846D-4597-AF7F-49D780AC0A74}" srcOrd="1" destOrd="0" presId="urn:microsoft.com/office/officeart/2009/3/layout/RandomtoResultProcess"/>
    <dgm:cxn modelId="{DE912FC9-555C-4BC6-8C4E-1FA5DAEE4160}" type="presParOf" srcId="{47C7D25C-255C-4AF9-AFD8-E9E07ADF29C8}" destId="{CF521174-1EAE-4BB5-A6A5-1D082F6B83AD}" srcOrd="2" destOrd="0" presId="urn:microsoft.com/office/officeart/2009/3/layout/RandomtoResultProcess"/>
    <dgm:cxn modelId="{71A485CA-2C4D-4FE6-A7E7-93AF277B63DB}" type="presParOf" srcId="{47C7D25C-255C-4AF9-AFD8-E9E07ADF29C8}" destId="{CF4F117B-4802-4035-B309-5726AA555C38}" srcOrd="3" destOrd="0" presId="urn:microsoft.com/office/officeart/2009/3/layout/RandomtoResultProcess"/>
    <dgm:cxn modelId="{593EA0F3-3334-43F1-B0A4-B010B789B524}" type="presParOf" srcId="{47C7D25C-255C-4AF9-AFD8-E9E07ADF29C8}" destId="{315B9090-60F5-4757-BD09-93EB3F83F6BA}" srcOrd="4" destOrd="0" presId="urn:microsoft.com/office/officeart/2009/3/layout/RandomtoResultProcess"/>
    <dgm:cxn modelId="{DE35255D-0636-4D71-933C-8152A04C9390}" type="presParOf" srcId="{47C7D25C-255C-4AF9-AFD8-E9E07ADF29C8}" destId="{74A113CD-D125-49CB-A416-EA35E4B9CAAD}" srcOrd="5" destOrd="0" presId="urn:microsoft.com/office/officeart/2009/3/layout/RandomtoResultProcess"/>
    <dgm:cxn modelId="{8D8365BE-3E5D-41EA-A8AA-00F6D072C436}" type="presParOf" srcId="{47C7D25C-255C-4AF9-AFD8-E9E07ADF29C8}" destId="{690241B6-AF03-4F24-B784-604E0614C2DA}" srcOrd="6" destOrd="0" presId="urn:microsoft.com/office/officeart/2009/3/layout/RandomtoResultProcess"/>
    <dgm:cxn modelId="{69A49C71-1023-4DB5-A844-E61DB66E6BB9}" type="presParOf" srcId="{47C7D25C-255C-4AF9-AFD8-E9E07ADF29C8}" destId="{7548C38F-EA1E-4C37-BCAE-0719F244E49E}" srcOrd="7" destOrd="0" presId="urn:microsoft.com/office/officeart/2009/3/layout/RandomtoResultProcess"/>
    <dgm:cxn modelId="{634A8DC5-3D49-459D-AAE8-7D684BEED341}" type="presParOf" srcId="{47C7D25C-255C-4AF9-AFD8-E9E07ADF29C8}" destId="{2D0DC3C9-172E-4550-9378-BEE7943BBC84}" srcOrd="8" destOrd="0" presId="urn:microsoft.com/office/officeart/2009/3/layout/RandomtoResultProcess"/>
    <dgm:cxn modelId="{DC568278-57D0-4796-B0FC-AFF7882821B6}" type="presParOf" srcId="{47C7D25C-255C-4AF9-AFD8-E9E07ADF29C8}" destId="{ABEBCC67-EA65-40DD-971D-BD4375935A28}" srcOrd="9" destOrd="0" presId="urn:microsoft.com/office/officeart/2009/3/layout/RandomtoResultProcess"/>
    <dgm:cxn modelId="{3C85E2B2-3A9C-4851-B04E-8695B2D1D033}" type="presParOf" srcId="{47C7D25C-255C-4AF9-AFD8-E9E07ADF29C8}" destId="{6A4E1234-834E-455B-A4EE-347A7C26C9A7}" srcOrd="10" destOrd="0" presId="urn:microsoft.com/office/officeart/2009/3/layout/RandomtoResultProcess"/>
    <dgm:cxn modelId="{1CD6DA5B-7B39-4A8E-9E2F-8289049A4F03}" type="presParOf" srcId="{47C7D25C-255C-4AF9-AFD8-E9E07ADF29C8}" destId="{24597414-CF0F-4BF8-BAB9-9368922AC865}" srcOrd="11" destOrd="0" presId="urn:microsoft.com/office/officeart/2009/3/layout/RandomtoResultProcess"/>
    <dgm:cxn modelId="{67D12697-5687-4869-9598-A4C13A9926C7}" type="presParOf" srcId="{47C7D25C-255C-4AF9-AFD8-E9E07ADF29C8}" destId="{5AD4EEAD-820C-45A5-B1F1-AED2C5FCA0B5}" srcOrd="12" destOrd="0" presId="urn:microsoft.com/office/officeart/2009/3/layout/RandomtoResultProcess"/>
    <dgm:cxn modelId="{E480AEFF-7B51-4986-BC55-A92A000235CE}" type="presParOf" srcId="{47C7D25C-255C-4AF9-AFD8-E9E07ADF29C8}" destId="{07DB8BB1-6F68-43F2-8758-D1629E0ADF5F}" srcOrd="13" destOrd="0" presId="urn:microsoft.com/office/officeart/2009/3/layout/RandomtoResultProcess"/>
    <dgm:cxn modelId="{9C2A4C80-0574-461D-8401-4AA782A5A491}" type="presParOf" srcId="{47C7D25C-255C-4AF9-AFD8-E9E07ADF29C8}" destId="{EBFF9D95-E73F-4E71-ACA6-679F9D4258A4}" srcOrd="14" destOrd="0" presId="urn:microsoft.com/office/officeart/2009/3/layout/RandomtoResultProcess"/>
    <dgm:cxn modelId="{D9088664-61D1-4B6C-9C8A-FE77E1AF737C}" type="presParOf" srcId="{47C7D25C-255C-4AF9-AFD8-E9E07ADF29C8}" destId="{9322AADE-B4D4-48C4-B9B5-DECC03544456}" srcOrd="15" destOrd="0" presId="urn:microsoft.com/office/officeart/2009/3/layout/RandomtoResultProcess"/>
    <dgm:cxn modelId="{94DEC652-B6C9-4061-A350-A147EBA58B96}" type="presParOf" srcId="{47C7D25C-255C-4AF9-AFD8-E9E07ADF29C8}" destId="{B8E15D0C-96C6-4A14-A7AE-4648CC7153C2}" srcOrd="16" destOrd="0" presId="urn:microsoft.com/office/officeart/2009/3/layout/RandomtoResultProcess"/>
    <dgm:cxn modelId="{8E7BDBE1-64CE-44A5-95C1-41FB71A1E878}" type="presParOf" srcId="{47C7D25C-255C-4AF9-AFD8-E9E07ADF29C8}" destId="{CC9BF78F-47DC-4511-9778-560D43F445CB}" srcOrd="17" destOrd="0" presId="urn:microsoft.com/office/officeart/2009/3/layout/RandomtoResultProcess"/>
    <dgm:cxn modelId="{56321084-EEE5-4B77-8786-F485D299BBF5}" type="presParOf" srcId="{47C7D25C-255C-4AF9-AFD8-E9E07ADF29C8}" destId="{3CCA220B-2C39-476F-87A5-5715BAF5AB64}" srcOrd="18" destOrd="0" presId="urn:microsoft.com/office/officeart/2009/3/layout/RandomtoResultProcess"/>
    <dgm:cxn modelId="{99104054-417C-4936-B6FD-2970FC7A7816}" type="presParOf" srcId="{47C7D25C-255C-4AF9-AFD8-E9E07ADF29C8}" destId="{5E83D13A-B181-42CA-B1BB-7FC70B7D08BC}" srcOrd="19" destOrd="0" presId="urn:microsoft.com/office/officeart/2009/3/layout/RandomtoResultProcess"/>
    <dgm:cxn modelId="{9FC4E6B5-04AE-4175-8EBE-CE10D55FC16C}" type="presParOf" srcId="{29C26180-77B3-40AE-BBB3-C5E122437BA5}" destId="{3F91988A-1FEE-4217-ACA0-5ED20EBEEC15}" srcOrd="1" destOrd="0" presId="urn:microsoft.com/office/officeart/2009/3/layout/RandomtoResultProcess"/>
    <dgm:cxn modelId="{FB8F304F-639C-4DB3-8FE9-F65B116A3952}" type="presParOf" srcId="{3F91988A-1FEE-4217-ACA0-5ED20EBEEC15}" destId="{46E80541-4962-4738-BF22-954D47D8D669}" srcOrd="0" destOrd="0" presId="urn:microsoft.com/office/officeart/2009/3/layout/RandomtoResultProcess"/>
    <dgm:cxn modelId="{3424AAE3-3350-4F85-9911-6DA002558175}" type="presParOf" srcId="{3F91988A-1FEE-4217-ACA0-5ED20EBEEC15}" destId="{05777A12-E8DF-44FB-97B0-F391CBCEC323}" srcOrd="1" destOrd="0" presId="urn:microsoft.com/office/officeart/2009/3/layout/RandomtoResultProcess"/>
    <dgm:cxn modelId="{F1ED11A9-3665-43C3-B137-10D835E152D1}" type="presParOf" srcId="{29C26180-77B3-40AE-BBB3-C5E122437BA5}" destId="{6EF57831-8FAD-41D4-AADA-59E282B143B5}" srcOrd="2" destOrd="0" presId="urn:microsoft.com/office/officeart/2009/3/layout/RandomtoResultProcess"/>
    <dgm:cxn modelId="{2E664BA9-154D-4AFB-A9F2-5B618C31630A}" type="presParOf" srcId="{29C26180-77B3-40AE-BBB3-C5E122437BA5}" destId="{67A5DCFA-36B8-40B6-841F-A0A059C996B6}" srcOrd="3" destOrd="0" presId="urn:microsoft.com/office/officeart/2009/3/layout/RandomtoResultProcess"/>
    <dgm:cxn modelId="{4E43E8E1-01CB-41B4-8F3B-087E4CA3EA17}" type="presParOf" srcId="{67A5DCFA-36B8-40B6-841F-A0A059C996B6}" destId="{B662EC21-DFB9-49D5-A2AB-7361463D1711}" srcOrd="0" destOrd="0" presId="urn:microsoft.com/office/officeart/2009/3/layout/RandomtoResultProcess"/>
    <dgm:cxn modelId="{8CC01C10-C870-4E2D-B9DC-BCAEA477E657}" type="presParOf" srcId="{67A5DCFA-36B8-40B6-841F-A0A059C996B6}" destId="{672FEA70-073D-4C5F-8121-21EB7C9E2737}" srcOrd="1" destOrd="0" presId="urn:microsoft.com/office/officeart/2009/3/layout/RandomtoResultProcess"/>
    <dgm:cxn modelId="{BB868FCF-27BF-47E8-9B73-1FE77BE4ADA6}" type="presParOf" srcId="{29C26180-77B3-40AE-BBB3-C5E122437BA5}" destId="{6D5412EA-7274-4A93-BA40-6D0B6FF65FA6}" srcOrd="4" destOrd="0" presId="urn:microsoft.com/office/officeart/2009/3/layout/RandomtoResultProcess"/>
    <dgm:cxn modelId="{C151D314-4B4F-435A-850A-78B873D0263D}" type="presParOf" srcId="{6D5412EA-7274-4A93-BA40-6D0B6FF65FA6}" destId="{130C6055-311F-4D8F-8F28-B0DF124D5A86}" srcOrd="0" destOrd="0" presId="urn:microsoft.com/office/officeart/2009/3/layout/RandomtoResultProcess"/>
    <dgm:cxn modelId="{A94541BF-DBCC-43BA-92A0-25EA2DE8E4CA}" type="presParOf" srcId="{6D5412EA-7274-4A93-BA40-6D0B6FF65FA6}" destId="{88F06069-AD57-4B19-82E0-0DAA3B6AC247}" srcOrd="1" destOrd="0" presId="urn:microsoft.com/office/officeart/2009/3/layout/RandomtoResultProcess"/>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2BE8AE-6B00-4772-B785-50AF1F48057F}">
      <dsp:nvSpPr>
        <dsp:cNvPr id="0" name=""/>
        <dsp:cNvSpPr/>
      </dsp:nvSpPr>
      <dsp:spPr>
        <a:xfrm>
          <a:off x="689860" y="712774"/>
          <a:ext cx="2000132" cy="65913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US" sz="1400" kern="1200">
              <a:solidFill>
                <a:sysClr val="windowText" lastClr="000000">
                  <a:hueOff val="0"/>
                  <a:satOff val="0"/>
                  <a:lumOff val="0"/>
                  <a:alphaOff val="0"/>
                </a:sysClr>
              </a:solidFill>
              <a:latin typeface="Calibri"/>
              <a:ea typeface="+mn-ea"/>
              <a:cs typeface="+mn-cs"/>
            </a:rPr>
            <a:t>You, Your Family, Your Goals, Your Needs, Your Dreams</a:t>
          </a:r>
        </a:p>
      </dsp:txBody>
      <dsp:txXfrm>
        <a:off x="689860" y="712774"/>
        <a:ext cx="2000132" cy="659134"/>
      </dsp:txXfrm>
    </dsp:sp>
    <dsp:sp modelId="{9D201257-846D-4597-AF7F-49D780AC0A74}">
      <dsp:nvSpPr>
        <dsp:cNvPr id="0" name=""/>
        <dsp:cNvSpPr/>
      </dsp:nvSpPr>
      <dsp:spPr>
        <a:xfrm>
          <a:off x="689860" y="2102662"/>
          <a:ext cx="2000132" cy="123489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2550" tIns="82550" rIns="82550" bIns="82550" numCol="1" spcCol="1270" anchor="ctr" anchorCtr="0">
          <a:noAutofit/>
        </a:bodyPr>
        <a:lstStyle/>
        <a:p>
          <a:pPr lvl="0" algn="ctr" defTabSz="2889250">
            <a:lnSpc>
              <a:spcPct val="90000"/>
            </a:lnSpc>
            <a:spcBef>
              <a:spcPct val="0"/>
            </a:spcBef>
            <a:spcAft>
              <a:spcPct val="35000"/>
            </a:spcAft>
          </a:pPr>
          <a:endParaRPr lang="en-US" sz="6500" kern="1200">
            <a:solidFill>
              <a:sysClr val="windowText" lastClr="000000">
                <a:hueOff val="0"/>
                <a:satOff val="0"/>
                <a:lumOff val="0"/>
                <a:alphaOff val="0"/>
              </a:sysClr>
            </a:solidFill>
            <a:latin typeface="Calibri"/>
            <a:ea typeface="+mn-ea"/>
            <a:cs typeface="+mn-cs"/>
          </a:endParaRPr>
        </a:p>
      </dsp:txBody>
      <dsp:txXfrm>
        <a:off x="689860" y="2102662"/>
        <a:ext cx="2000132" cy="1234897"/>
      </dsp:txXfrm>
    </dsp:sp>
    <dsp:sp modelId="{CF521174-1EAE-4BB5-A6A5-1D082F6B83AD}">
      <dsp:nvSpPr>
        <dsp:cNvPr id="0" name=""/>
        <dsp:cNvSpPr/>
      </dsp:nvSpPr>
      <dsp:spPr>
        <a:xfrm>
          <a:off x="687587" y="512306"/>
          <a:ext cx="159101" cy="159101"/>
        </a:xfrm>
        <a:prstGeom prst="ellipse">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CF4F117B-4802-4035-B309-5726AA555C38}">
      <dsp:nvSpPr>
        <dsp:cNvPr id="0" name=""/>
        <dsp:cNvSpPr/>
      </dsp:nvSpPr>
      <dsp:spPr>
        <a:xfrm>
          <a:off x="798958" y="289564"/>
          <a:ext cx="159101" cy="159101"/>
        </a:xfrm>
        <a:prstGeom prst="ellipse">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315B9090-60F5-4757-BD09-93EB3F83F6BA}">
      <dsp:nvSpPr>
        <dsp:cNvPr id="0" name=""/>
        <dsp:cNvSpPr/>
      </dsp:nvSpPr>
      <dsp:spPr>
        <a:xfrm>
          <a:off x="1066249" y="334113"/>
          <a:ext cx="250016" cy="250016"/>
        </a:xfrm>
        <a:prstGeom prst="ellipse">
          <a:avLst/>
        </a:prstGeom>
        <a:solidFill>
          <a:srgbClr val="8064A2">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74A113CD-D125-49CB-A416-EA35E4B9CAAD}">
      <dsp:nvSpPr>
        <dsp:cNvPr id="0" name=""/>
        <dsp:cNvSpPr/>
      </dsp:nvSpPr>
      <dsp:spPr>
        <a:xfrm>
          <a:off x="1288991" y="89096"/>
          <a:ext cx="159101" cy="159101"/>
        </a:xfrm>
        <a:prstGeom prst="ellipse">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690241B6-AF03-4F24-B784-604E0614C2DA}">
      <dsp:nvSpPr>
        <dsp:cNvPr id="0" name=""/>
        <dsp:cNvSpPr/>
      </dsp:nvSpPr>
      <dsp:spPr>
        <a:xfrm>
          <a:off x="1578555" y="0"/>
          <a:ext cx="159101" cy="159101"/>
        </a:xfrm>
        <a:prstGeom prst="ellipse">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7548C38F-EA1E-4C37-BCAE-0719F244E49E}">
      <dsp:nvSpPr>
        <dsp:cNvPr id="0" name=""/>
        <dsp:cNvSpPr/>
      </dsp:nvSpPr>
      <dsp:spPr>
        <a:xfrm>
          <a:off x="1934943" y="155919"/>
          <a:ext cx="159101" cy="159101"/>
        </a:xfrm>
        <a:prstGeom prst="ellipse">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2D0DC3C9-172E-4550-9378-BEE7943BBC84}">
      <dsp:nvSpPr>
        <dsp:cNvPr id="0" name=""/>
        <dsp:cNvSpPr/>
      </dsp:nvSpPr>
      <dsp:spPr>
        <a:xfrm>
          <a:off x="2157685" y="267290"/>
          <a:ext cx="250016" cy="250016"/>
        </a:xfrm>
        <a:prstGeom prst="ellipse">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ABEBCC67-EA65-40DD-971D-BD4375935A28}">
      <dsp:nvSpPr>
        <dsp:cNvPr id="0" name=""/>
        <dsp:cNvSpPr/>
      </dsp:nvSpPr>
      <dsp:spPr>
        <a:xfrm>
          <a:off x="2469524" y="512306"/>
          <a:ext cx="159101" cy="159101"/>
        </a:xfrm>
        <a:prstGeom prst="ellipse">
          <a:avLst/>
        </a:prstGeom>
        <a:solidFill>
          <a:srgbClr val="8064A2">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6A4E1234-834E-455B-A4EE-347A7C26C9A7}">
      <dsp:nvSpPr>
        <dsp:cNvPr id="0" name=""/>
        <dsp:cNvSpPr/>
      </dsp:nvSpPr>
      <dsp:spPr>
        <a:xfrm>
          <a:off x="2603169" y="757323"/>
          <a:ext cx="159101" cy="159101"/>
        </a:xfrm>
        <a:prstGeom prst="ellipse">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24597414-CF0F-4BF8-BAB9-9368922AC865}">
      <dsp:nvSpPr>
        <dsp:cNvPr id="0" name=""/>
        <dsp:cNvSpPr/>
      </dsp:nvSpPr>
      <dsp:spPr>
        <a:xfrm>
          <a:off x="1444910" y="289564"/>
          <a:ext cx="409118" cy="409118"/>
        </a:xfrm>
        <a:prstGeom prst="ellipse">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5AD4EEAD-820C-45A5-B1F1-AED2C5FCA0B5}">
      <dsp:nvSpPr>
        <dsp:cNvPr id="0" name=""/>
        <dsp:cNvSpPr/>
      </dsp:nvSpPr>
      <dsp:spPr>
        <a:xfrm>
          <a:off x="576216" y="1135984"/>
          <a:ext cx="159101" cy="159101"/>
        </a:xfrm>
        <a:prstGeom prst="ellipse">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07DB8BB1-6F68-43F2-8758-D1629E0ADF5F}">
      <dsp:nvSpPr>
        <dsp:cNvPr id="0" name=""/>
        <dsp:cNvSpPr/>
      </dsp:nvSpPr>
      <dsp:spPr>
        <a:xfrm>
          <a:off x="709861" y="1336452"/>
          <a:ext cx="250016" cy="250016"/>
        </a:xfrm>
        <a:prstGeom prst="ellipse">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EBFF9D95-E73F-4E71-ACA6-679F9D4258A4}">
      <dsp:nvSpPr>
        <dsp:cNvPr id="0" name=""/>
        <dsp:cNvSpPr/>
      </dsp:nvSpPr>
      <dsp:spPr>
        <a:xfrm>
          <a:off x="1043974" y="1514646"/>
          <a:ext cx="363660" cy="363660"/>
        </a:xfrm>
        <a:prstGeom prst="ellipse">
          <a:avLst/>
        </a:prstGeom>
        <a:solidFill>
          <a:srgbClr val="8064A2">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9322AADE-B4D4-48C4-B9B5-DECC03544456}">
      <dsp:nvSpPr>
        <dsp:cNvPr id="0" name=""/>
        <dsp:cNvSpPr/>
      </dsp:nvSpPr>
      <dsp:spPr>
        <a:xfrm>
          <a:off x="1511733" y="1804210"/>
          <a:ext cx="159101" cy="159101"/>
        </a:xfrm>
        <a:prstGeom prst="ellipse">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B8E15D0C-96C6-4A14-A7AE-4648CC7153C2}">
      <dsp:nvSpPr>
        <dsp:cNvPr id="0" name=""/>
        <dsp:cNvSpPr/>
      </dsp:nvSpPr>
      <dsp:spPr>
        <a:xfrm>
          <a:off x="1600830" y="1514646"/>
          <a:ext cx="250016" cy="250016"/>
        </a:xfrm>
        <a:prstGeom prst="ellipse">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CC9BF78F-47DC-4511-9778-560D43F445CB}">
      <dsp:nvSpPr>
        <dsp:cNvPr id="0" name=""/>
        <dsp:cNvSpPr/>
      </dsp:nvSpPr>
      <dsp:spPr>
        <a:xfrm>
          <a:off x="1823572" y="1826485"/>
          <a:ext cx="159101" cy="159101"/>
        </a:xfrm>
        <a:prstGeom prst="ellipse">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3CCA220B-2C39-476F-87A5-5715BAF5AB64}">
      <dsp:nvSpPr>
        <dsp:cNvPr id="0" name=""/>
        <dsp:cNvSpPr/>
      </dsp:nvSpPr>
      <dsp:spPr>
        <a:xfrm>
          <a:off x="2024039" y="1470097"/>
          <a:ext cx="363660" cy="363660"/>
        </a:xfrm>
        <a:prstGeom prst="ellipse">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5E83D13A-B181-42CA-B1BB-7FC70B7D08BC}">
      <dsp:nvSpPr>
        <dsp:cNvPr id="0" name=""/>
        <dsp:cNvSpPr/>
      </dsp:nvSpPr>
      <dsp:spPr>
        <a:xfrm>
          <a:off x="2514072" y="1381000"/>
          <a:ext cx="250016" cy="250016"/>
        </a:xfrm>
        <a:prstGeom prst="ellipse">
          <a:avLst/>
        </a:prstGeom>
        <a:solidFill>
          <a:srgbClr val="8064A2">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46E80541-4962-4738-BF22-954D47D8D669}">
      <dsp:nvSpPr>
        <dsp:cNvPr id="0" name=""/>
        <dsp:cNvSpPr/>
      </dsp:nvSpPr>
      <dsp:spPr>
        <a:xfrm>
          <a:off x="2891722" y="564203"/>
          <a:ext cx="478996" cy="940866"/>
        </a:xfrm>
        <a:prstGeom prst="chevron">
          <a:avLst>
            <a:gd name="adj" fmla="val 62310"/>
          </a:avLst>
        </a:prstGeom>
        <a:solidFill>
          <a:srgbClr val="C0504D">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B662EC21-DFB9-49D5-A2AB-7361463D1711}">
      <dsp:nvSpPr>
        <dsp:cNvPr id="0" name=""/>
        <dsp:cNvSpPr/>
      </dsp:nvSpPr>
      <dsp:spPr>
        <a:xfrm>
          <a:off x="3345531" y="452957"/>
          <a:ext cx="517633" cy="1163358"/>
        </a:xfrm>
        <a:prstGeom prst="chevron">
          <a:avLst>
            <a:gd name="adj" fmla="val 62310"/>
          </a:avLst>
        </a:prstGeom>
        <a:solidFill>
          <a:srgbClr val="9BBB59">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130C6055-311F-4D8F-8F28-B0DF124D5A86}">
      <dsp:nvSpPr>
        <dsp:cNvPr id="0" name=""/>
        <dsp:cNvSpPr/>
      </dsp:nvSpPr>
      <dsp:spPr>
        <a:xfrm>
          <a:off x="3943266" y="217895"/>
          <a:ext cx="1702155" cy="1702155"/>
        </a:xfrm>
        <a:prstGeom prst="ellipse">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r>
            <a:rPr lang="en-US" sz="1400" kern="1200">
              <a:solidFill>
                <a:sysClr val="window" lastClr="FFFFFF"/>
              </a:solidFill>
              <a:latin typeface="Calibri"/>
              <a:ea typeface="+mn-ea"/>
              <a:cs typeface="+mn-cs"/>
            </a:rPr>
            <a:t>Goal Aligned Portfolio Solutions</a:t>
          </a:r>
        </a:p>
      </dsp:txBody>
      <dsp:txXfrm>
        <a:off x="4192541" y="467170"/>
        <a:ext cx="1203605" cy="1203605"/>
      </dsp:txXfrm>
    </dsp:sp>
  </dsp:spTree>
</dsp:drawing>
</file>

<file path=word/diagrams/layout1.xml><?xml version="1.0" encoding="utf-8"?>
<dgm:layoutDef xmlns:dgm="http://schemas.openxmlformats.org/drawingml/2006/diagram" xmlns:a="http://schemas.openxmlformats.org/drawingml/2006/main" uniqueId="urn:microsoft.com/office/officeart/2009/3/layout/RandomtoResultProcess">
  <dgm:title val=""/>
  <dgm:desc val=""/>
  <dgm:catLst>
    <dgm:cat type="process" pri="1275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41" srcId="1" destId="11" srcOrd="0" destOrd="0"/>
        <dgm:cxn modelId="5" srcId="0" destId="2" srcOrd="0" destOrd="0"/>
        <dgm:cxn modelId="51" srcId="2" destId="21" srcOrd="0"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clrData>
  <dgm:layoutNode name="Name0">
    <dgm:varLst>
      <dgm:dir/>
      <dgm:animOne val="branch"/>
      <dgm:animLvl val="lvl"/>
    </dgm:varLst>
    <dgm:choose name="Name1">
      <dgm:if name="Name2" func="var" arg="dir" op="equ" val="norm">
        <dgm:alg type="lin">
          <dgm:param type="fallback" val="2D"/>
          <dgm:param type="nodeVertAlign" val="t"/>
        </dgm:alg>
      </dgm:if>
      <dgm:else name="Name3">
        <dgm:alg type="lin">
          <dgm:param type="fallback" val="2D"/>
          <dgm:param type="nodeVertAlign" val="t"/>
          <dgm:param type="linDir" val="fromR"/>
        </dgm:alg>
      </dgm:else>
    </dgm:choose>
    <dgm:shape xmlns:r="http://schemas.openxmlformats.org/officeDocument/2006/relationships" r:blip="">
      <dgm:adjLst/>
    </dgm:shape>
    <dgm:constrLst>
      <dgm:constr type="userH" refType="h" fact="2"/>
      <dgm:constr type="w" for="ch" forName="chaos" refType="userH" fact="0.681"/>
      <dgm:constr type="h" for="ch" forName="chaos" refType="userH"/>
      <dgm:constr type="w" for="ch" forName="middle" refType="userH" fact="0.6"/>
      <dgm:constr type="h" for="ch" forName="middle" refType="userH"/>
      <dgm:constr type="w" for="ch" forName="last" refType="userH" fact="0.6"/>
      <dgm:constr type="h" for="ch" forName="last" refType="userH"/>
      <dgm:constr type="w" for="ch" forName="chevronComposite1" refType="userH" fact="0.22"/>
      <dgm:constr type="h" for="ch" forName="chevronComposite1" refType="userH" fact="0.52"/>
      <dgm:constr type="w" for="ch" forName="chevronComposite2" refType="userH" fact="0.22"/>
      <dgm:constr type="h" for="ch" forName="chevronComposite2" refType="userH" fact="0.52"/>
      <dgm:constr type="w" for="ch" forName="overlap" refType="userH" fact="-0.04"/>
      <dgm:constr type="h" for="ch" forName="overlap" refType="userH" fact="0.06"/>
      <dgm:constr type="primFontSz" for="des" forName="parTx1" op="equ" val="65"/>
      <dgm:constr type="primFontSz" for="des" forName="parTxMid" refType="primFontSz" refFor="des" refForName="parTx1" op="equ"/>
      <dgm:constr type="primFontSz" for="des" forName="circleTx" refType="primFontSz" refFor="des" refForName="parTx1" op="equ"/>
      <dgm:constr type="primFontSz" for="des" forName="desTx1" op="equ" val="65"/>
      <dgm:constr type="primFontSz" for="des" forName="desTxMid" refType="primFontSz" refFor="des" refForName="desTx1" op="equ"/>
      <dgm:constr type="primFontSz" for="des" forName="desTxN" refType="primFontSz" refFor="des" refForName="desTx1" op="equ"/>
    </dgm:constrLst>
    <dgm:forEach name="Name4" axis="ch" ptType="node">
      <dgm:choose name="Name5">
        <dgm:if name="Name6" axis="self" ptType="node" func="pos" op="equ" val="1">
          <dgm:layoutNode name="chaos">
            <dgm:alg type="composite"/>
            <dgm:shape xmlns:r="http://schemas.openxmlformats.org/officeDocument/2006/relationships" r:blip="">
              <dgm:adjLst/>
            </dgm:shape>
            <dgm:presOf/>
            <dgm:constrLst>
              <dgm:constr type="ctrX" for="ch" forName="parTx1" refType="w" fact="0.5"/>
              <dgm:constr type="t" for="ch" forName="parTx1" refType="w" fact="0.32"/>
              <dgm:constr type="w" for="ch" forName="parTx1" refType="w" fact="0.88"/>
              <dgm:constr type="h" for="ch" forName="parTx1" refType="w" fact="0.29"/>
              <dgm:constr type="ctrX" for="ch" forName="desTx1" refType="w" fact="0.5"/>
              <dgm:constr type="b" for="ch" forName="desTx1" refType="h"/>
              <dgm:constr type="w" for="ch" forName="desTx1" refType="w" fact="0.88"/>
              <dgm:constr type="h" for="ch" forName="desTx1" refType="h" fact="0.37"/>
              <dgm:constr type="l" for="ch" forName="c1" refType="w" fact="0.05"/>
              <dgm:constr type="t" for="ch" forName="c1" refType="w" fact="0.23"/>
              <dgm:constr type="w" for="ch" forName="c1" refType="w" fact="0.07"/>
              <dgm:constr type="h" for="ch" forName="c1" refType="w" refFor="ch" refForName="c1"/>
              <dgm:constr type="l" for="ch" forName="c2" refType="w" fact="0.1"/>
              <dgm:constr type="t" for="ch" forName="c2" refType="w" fact="0.13"/>
              <dgm:constr type="w" for="ch" forName="c2" refType="w" fact="0.07"/>
              <dgm:constr type="h" for="ch" forName="c2" refType="w" refFor="ch" refForName="c2"/>
              <dgm:constr type="l" for="ch" forName="c3" refType="w" fact="0.22"/>
              <dgm:constr type="t" for="ch" forName="c3" refType="w" fact="0.15"/>
              <dgm:constr type="w" for="ch" forName="c3" refType="w" fact="0.11"/>
              <dgm:constr type="h" for="ch" forName="c3" refType="w" refFor="ch" refForName="c3"/>
              <dgm:constr type="l" for="ch" forName="c4" refType="w" fact="0.32"/>
              <dgm:constr type="t" for="ch" forName="c4" refType="w" fact="0.04"/>
              <dgm:constr type="w" for="ch" forName="c4" refType="w" fact="0.07"/>
              <dgm:constr type="h" for="ch" forName="c4" refType="w" refFor="ch" refForName="c4"/>
              <dgm:constr type="l" for="ch" forName="c5" refType="w" fact="0.45"/>
              <dgm:constr type="t" for="ch" forName="c5" refType="w" fact="0"/>
              <dgm:constr type="w" for="ch" forName="c5" refType="w" fact="0.07"/>
              <dgm:constr type="h" for="ch" forName="c5" refType="w" refFor="ch" refForName="c5"/>
              <dgm:constr type="l" for="ch" forName="c6" refType="w" fact="0.61"/>
              <dgm:constr type="t" for="ch" forName="c6" refType="w" fact="0.07"/>
              <dgm:constr type="w" for="ch" forName="c6" refType="w" fact="0.07"/>
              <dgm:constr type="h" for="ch" forName="c6" refType="w" refFor="ch" refForName="c6"/>
              <dgm:constr type="l" for="ch" forName="c7" refType="w" fact="0.71"/>
              <dgm:constr type="t" for="ch" forName="c7" refType="w" fact="0.12"/>
              <dgm:constr type="w" for="ch" forName="c7" refType="w" fact="0.11"/>
              <dgm:constr type="h" for="ch" forName="c7" refType="w" refFor="ch" refForName="c7"/>
              <dgm:constr type="l" for="ch" forName="c8" refType="w" fact="0.85"/>
              <dgm:constr type="t" for="ch" forName="c8" refType="w" fact="0.23"/>
              <dgm:constr type="w" for="ch" forName="c8" refType="w" fact="0.07"/>
              <dgm:constr type="h" for="ch" forName="c8" refType="w" refFor="ch" refForName="c8"/>
              <dgm:constr type="l" for="ch" forName="c9" refType="w" fact="0.91"/>
              <dgm:constr type="t" for="ch" forName="c9" refType="w" fact="0.34"/>
              <dgm:constr type="w" for="ch" forName="c9" refType="w" fact="0.07"/>
              <dgm:constr type="h" for="ch" forName="c9" refType="w" refFor="ch" refForName="c9"/>
              <dgm:constr type="l" for="ch" forName="c10" refType="w" fact="0.39"/>
              <dgm:constr type="t" for="ch" forName="c10" refType="w" fact="0.13"/>
              <dgm:constr type="w" for="ch" forName="c10" refType="w" fact="0.18"/>
              <dgm:constr type="h" for="ch" forName="c10" refType="w" refFor="ch" refForName="c10"/>
              <dgm:constr type="l" for="ch" forName="c11" refType="w" fact="0"/>
              <dgm:constr type="t" for="ch" forName="c11" refType="w" fact="0.51"/>
              <dgm:constr type="w" for="ch" forName="c11" refType="w" fact="0.07"/>
              <dgm:constr type="h" for="ch" forName="c11" refType="w" refFor="ch" refForName="c11"/>
              <dgm:constr type="l" for="ch" forName="c12" refType="w" fact="0.06"/>
              <dgm:constr type="t" for="ch" forName="c12" refType="w" fact="0.6"/>
              <dgm:constr type="w" for="ch" forName="c12" refType="w" fact="0.11"/>
              <dgm:constr type="h" for="ch" forName="c12" refType="w" refFor="ch" refForName="c12"/>
              <dgm:constr type="l" for="ch" forName="c13" refType="w" fact="0.21"/>
              <dgm:constr type="t" for="ch" forName="c13" refType="w" fact="0.68"/>
              <dgm:constr type="w" for="ch" forName="c13" refType="w" fact="0.16"/>
              <dgm:constr type="h" for="ch" forName="c13" refType="w" refFor="ch" refForName="c13"/>
              <dgm:constr type="l" for="ch" forName="c14" refType="w" fact="0.42"/>
              <dgm:constr type="t" for="ch" forName="c14" refType="w" fact="0.81"/>
              <dgm:constr type="w" for="ch" forName="c14" refType="w" fact="0.07"/>
              <dgm:constr type="h" for="ch" forName="c14" refType="w" refFor="ch" refForName="c14"/>
              <dgm:constr type="l" for="ch" forName="c15" refType="w" fact="0.46"/>
              <dgm:constr type="t" for="ch" forName="c15" refType="w" fact="0.68"/>
              <dgm:constr type="w" for="ch" forName="c15" refType="w" fact="0.11"/>
              <dgm:constr type="h" for="ch" forName="c15" refType="w" refFor="ch" refForName="c15"/>
              <dgm:constr type="l" for="ch" forName="c16" refType="w" fact="0.56"/>
              <dgm:constr type="t" for="ch" forName="c16" refType="w" fact="0.82"/>
              <dgm:constr type="w" for="ch" forName="c16" refType="w" fact="0.07"/>
              <dgm:constr type="h" for="ch" forName="c16" refType="w" refFor="ch" refForName="c16"/>
              <dgm:constr type="l" for="ch" forName="c17" refType="w" fact="0.65"/>
              <dgm:constr type="t" for="ch" forName="c17" refType="w" fact="0.66"/>
              <dgm:constr type="w" for="ch" forName="c17" refType="w" fact="0.16"/>
              <dgm:constr type="h" for="ch" forName="c17" refType="w" refFor="ch" refForName="c17"/>
              <dgm:constr type="l" for="ch" forName="c18" refType="w" fact="0.87"/>
              <dgm:constr type="t" for="ch" forName="c18" refType="w" fact="0.62"/>
              <dgm:constr type="w" for="ch" forName="c18" refType="w" fact="0.11"/>
              <dgm:constr type="h" for="ch" forName="c18" refType="w" refFor="ch" refForName="c18"/>
            </dgm:constrLst>
            <dgm:layoutNode name="parTx1" styleLbl="revTx">
              <dgm:alg type="tx"/>
              <dgm:shape xmlns:r="http://schemas.openxmlformats.org/officeDocument/2006/relationships" type="rect" r:blip="">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7">
              <dgm:if name="Name8" axis="ch" ptType="node" func="cnt" op="gte" val="1">
                <dgm:layoutNode name="desTx1" styleLbl="revTx">
                  <dgm:varLst>
                    <dgm:bulletEnabled val="1"/>
                  </dgm:varLst>
                  <dgm:choose name="Name9">
                    <dgm:if name="Name10" axis="ch" ptType="node" func="cnt" op="equ" val="1">
                      <dgm:alg type="tx">
                        <dgm:param type="shpTxLTRAlignCh" val="l"/>
                      </dgm:alg>
                    </dgm:if>
                    <dgm:else name="Name11">
                      <dgm:alg type="tx">
                        <dgm:param type="shpTxLTRAlignCh" val="l"/>
                        <dgm:param type="stBulletLvl" val="1"/>
                      </dgm:alg>
                    </dgm:else>
                  </dgm:choose>
                  <dgm:shape xmlns:r="http://schemas.openxmlformats.org/officeDocument/2006/relationships" type="rect" r:blip="">
                    <dgm:adjLst/>
                  </dgm:shape>
                  <dgm:presOf axis="des"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if>
              <dgm:else name="Name12"/>
            </dgm:choose>
            <dgm:layoutNode name="c1" styleLbl="node1">
              <dgm:alg type="sp"/>
              <dgm:shape xmlns:r="http://schemas.openxmlformats.org/officeDocument/2006/relationships" type="ellipse" r:blip="">
                <dgm:adjLst/>
              </dgm:shape>
              <dgm:presOf/>
            </dgm:layoutNode>
            <dgm:layoutNode name="c2" styleLbl="node1">
              <dgm:alg type="sp"/>
              <dgm:shape xmlns:r="http://schemas.openxmlformats.org/officeDocument/2006/relationships" type="ellipse" r:blip="">
                <dgm:adjLst/>
              </dgm:shape>
              <dgm:presOf/>
            </dgm:layoutNode>
            <dgm:layoutNode name="c3" styleLbl="node1">
              <dgm:alg type="sp"/>
              <dgm:shape xmlns:r="http://schemas.openxmlformats.org/officeDocument/2006/relationships" type="ellipse" r:blip="">
                <dgm:adjLst/>
              </dgm:shape>
              <dgm:presOf/>
            </dgm:layoutNode>
            <dgm:layoutNode name="c4" styleLbl="node1">
              <dgm:alg type="sp"/>
              <dgm:shape xmlns:r="http://schemas.openxmlformats.org/officeDocument/2006/relationships" type="ellipse" r:blip="">
                <dgm:adjLst/>
              </dgm:shape>
              <dgm:presOf/>
            </dgm:layoutNode>
            <dgm:layoutNode name="c5" styleLbl="node1">
              <dgm:alg type="sp"/>
              <dgm:shape xmlns:r="http://schemas.openxmlformats.org/officeDocument/2006/relationships" type="ellipse" r:blip="">
                <dgm:adjLst/>
              </dgm:shape>
              <dgm:presOf/>
            </dgm:layoutNode>
            <dgm:layoutNode name="c6" styleLbl="node1">
              <dgm:alg type="sp"/>
              <dgm:shape xmlns:r="http://schemas.openxmlformats.org/officeDocument/2006/relationships" type="ellipse" r:blip="">
                <dgm:adjLst/>
              </dgm:shape>
              <dgm:presOf/>
            </dgm:layoutNode>
            <dgm:layoutNode name="c7" styleLbl="node1">
              <dgm:alg type="sp"/>
              <dgm:shape xmlns:r="http://schemas.openxmlformats.org/officeDocument/2006/relationships" type="ellipse" r:blip="">
                <dgm:adjLst/>
              </dgm:shape>
              <dgm:presOf/>
            </dgm:layoutNode>
            <dgm:layoutNode name="c8" styleLbl="node1">
              <dgm:alg type="sp"/>
              <dgm:shape xmlns:r="http://schemas.openxmlformats.org/officeDocument/2006/relationships" type="ellipse" r:blip="">
                <dgm:adjLst/>
              </dgm:shape>
              <dgm:presOf/>
            </dgm:layoutNode>
            <dgm:layoutNode name="c9" styleLbl="node1">
              <dgm:alg type="sp"/>
              <dgm:shape xmlns:r="http://schemas.openxmlformats.org/officeDocument/2006/relationships" type="ellipse" r:blip="">
                <dgm:adjLst/>
              </dgm:shape>
              <dgm:presOf/>
            </dgm:layoutNode>
            <dgm:layoutNode name="c10" styleLbl="node1">
              <dgm:alg type="sp"/>
              <dgm:shape xmlns:r="http://schemas.openxmlformats.org/officeDocument/2006/relationships" type="ellipse" r:blip="">
                <dgm:adjLst/>
              </dgm:shape>
              <dgm:presOf/>
            </dgm:layoutNode>
            <dgm:layoutNode name="c11" styleLbl="node1">
              <dgm:alg type="sp"/>
              <dgm:shape xmlns:r="http://schemas.openxmlformats.org/officeDocument/2006/relationships" type="ellipse" r:blip="">
                <dgm:adjLst/>
              </dgm:shape>
              <dgm:presOf/>
            </dgm:layoutNode>
            <dgm:layoutNode name="c12" styleLbl="node1">
              <dgm:alg type="sp"/>
              <dgm:shape xmlns:r="http://schemas.openxmlformats.org/officeDocument/2006/relationships" type="ellipse" r:blip="">
                <dgm:adjLst/>
              </dgm:shape>
              <dgm:presOf/>
            </dgm:layoutNode>
            <dgm:layoutNode name="c13" styleLbl="node1">
              <dgm:alg type="sp"/>
              <dgm:shape xmlns:r="http://schemas.openxmlformats.org/officeDocument/2006/relationships" type="ellipse" r:blip="">
                <dgm:adjLst/>
              </dgm:shape>
              <dgm:presOf/>
            </dgm:layoutNode>
            <dgm:layoutNode name="c14" styleLbl="node1">
              <dgm:alg type="sp"/>
              <dgm:shape xmlns:r="http://schemas.openxmlformats.org/officeDocument/2006/relationships" type="ellipse" r:blip="">
                <dgm:adjLst/>
              </dgm:shape>
              <dgm:presOf/>
            </dgm:layoutNode>
            <dgm:layoutNode name="c15" styleLbl="node1">
              <dgm:alg type="sp"/>
              <dgm:shape xmlns:r="http://schemas.openxmlformats.org/officeDocument/2006/relationships" type="ellipse" r:blip="">
                <dgm:adjLst/>
              </dgm:shape>
              <dgm:presOf/>
            </dgm:layoutNode>
            <dgm:layoutNode name="c16" styleLbl="node1">
              <dgm:alg type="sp"/>
              <dgm:shape xmlns:r="http://schemas.openxmlformats.org/officeDocument/2006/relationships" type="ellipse" r:blip="">
                <dgm:adjLst/>
              </dgm:shape>
              <dgm:presOf/>
            </dgm:layoutNode>
            <dgm:layoutNode name="c17" styleLbl="node1">
              <dgm:alg type="sp"/>
              <dgm:shape xmlns:r="http://schemas.openxmlformats.org/officeDocument/2006/relationships" type="ellipse" r:blip="">
                <dgm:adjLst/>
              </dgm:shape>
              <dgm:presOf/>
            </dgm:layoutNode>
            <dgm:layoutNode name="c18" styleLbl="node1">
              <dgm:alg type="sp"/>
              <dgm:shape xmlns:r="http://schemas.openxmlformats.org/officeDocument/2006/relationships" type="ellipse" r:blip="">
                <dgm:adjLst/>
              </dgm:shape>
              <dgm:presOf/>
            </dgm:layoutNode>
          </dgm:layoutNode>
        </dgm:if>
        <dgm:if name="Name13" axis="self" ptType="node" func="revPos" op="equ" val="1">
          <dgm:layoutNode name="last">
            <dgm:alg type="composite"/>
            <dgm:shape xmlns:r="http://schemas.openxmlformats.org/officeDocument/2006/relationships" r:blip="">
              <dgm:adjLst/>
            </dgm:shape>
            <dgm:presOf/>
            <dgm:constrLst>
              <dgm:constr type="ctrX" for="ch" forName="circleTx" refType="w" fact="0.5"/>
              <dgm:constr type="t" for="ch" forName="circleTx" refType="w" fact="0.117"/>
              <dgm:constr type="w" for="ch" forName="circleTx" refType="h" refFor="ch" refForName="circleTx"/>
              <dgm:constr type="h" for="ch" forName="circleTx" refType="w" fact="0.85"/>
              <dgm:constr type="l" for="ch" forName="desTxN"/>
              <dgm:constr type="b" for="ch" forName="desTxN" refType="h"/>
              <dgm:constr type="w" for="ch" forName="desTxN" refType="w"/>
              <dgm:constr type="h" for="ch" forName="desTxN" refType="h" fact="0.37"/>
              <dgm:constr type="ctrX" for="ch" forName="spN" refType="w" fact="0.5"/>
              <dgm:constr type="t" for="ch" forName="spN"/>
              <dgm:constr type="w" for="ch" forName="spN" refType="w" fact="0.93"/>
              <dgm:constr type="h" for="ch" forName="spN" refType="h" fact="0.01"/>
            </dgm:constrLst>
            <dgm:layoutNode name="circleTx" styleLbl="node1">
              <dgm:alg type="tx"/>
              <dgm:shape xmlns:r="http://schemas.openxmlformats.org/officeDocument/2006/relationships" type="ellipse" r:blip="">
                <dgm:adjLst/>
              </dgm:shape>
              <dgm:presOf axis="self" ptType="node"/>
              <dgm:constrLst>
                <dgm:constr type="lMarg"/>
                <dgm:constr type="rMarg"/>
                <dgm:constr type="tMarg"/>
                <dgm:constr type="bMarg"/>
              </dgm:constrLst>
              <dgm:ruleLst>
                <dgm:rule type="primFontSz" val="5" fact="NaN" max="NaN"/>
              </dgm:ruleLst>
            </dgm:layoutNode>
            <dgm:choose name="Name14">
              <dgm:if name="Name15" axis="ch" ptType="node" func="cnt" op="gte" val="1">
                <dgm:layoutNode name="desTxN" styleLbl="revTx">
                  <dgm:varLst>
                    <dgm:bulletEnabled val="1"/>
                  </dgm:varLst>
                  <dgm:choose name="Name16">
                    <dgm:if name="Name17" axis="ch" ptType="node" func="cnt" op="equ" val="1">
                      <dgm:alg type="tx">
                        <dgm:param type="shpTxLTRAlignCh" val="l"/>
                      </dgm:alg>
                    </dgm:if>
                    <dgm:else name="Name18">
                      <dgm:alg type="tx">
                        <dgm:param type="shpTxLTRAlignCh" val="l"/>
                        <dgm:param type="stBulletLvl" val="1"/>
                      </dgm:alg>
                    </dgm:else>
                  </dgm:choose>
                  <dgm:shape xmlns:r="http://schemas.openxmlformats.org/officeDocument/2006/relationships" type="rect" r:blip="">
                    <dgm:adjLst/>
                  </dgm:shape>
                  <dgm:presOf axis="des"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if>
              <dgm:else name="Name19"/>
            </dgm:choose>
            <dgm:layoutNode name="spN">
              <dgm:alg type="sp"/>
              <dgm:shape xmlns:r="http://schemas.openxmlformats.org/officeDocument/2006/relationships" r:blip="">
                <dgm:adjLst/>
              </dgm:shape>
              <dgm:presOf/>
            </dgm:layoutNode>
          </dgm:layoutNode>
        </dgm:if>
        <dgm:else name="Name20">
          <dgm:layoutNode name="middle">
            <dgm:alg type="composite"/>
            <dgm:shape xmlns:r="http://schemas.openxmlformats.org/officeDocument/2006/relationships" r:blip="">
              <dgm:adjLst/>
            </dgm:shape>
            <dgm:presOf/>
            <dgm:constrLst>
              <dgm:constr type="l" for="ch" forName="parTxMid"/>
              <dgm:constr type="t" for="ch" forName="parTxMid" refType="w" fact="0.167"/>
              <dgm:constr type="w" for="ch" forName="parTxMid" refType="w"/>
              <dgm:constr type="h" for="ch" forName="parTxMid" refType="w" fact="0.7"/>
              <dgm:constr type="l" for="ch" forName="desTxMid"/>
              <dgm:constr type="b" for="ch" forName="desTxMid" refType="h"/>
              <dgm:constr type="w" for="ch" forName="desTxMid" refType="w"/>
              <dgm:constr type="h" for="ch" forName="desTxMid" refType="h" fact="0.37"/>
              <dgm:constr type="ctrX" for="ch" forName="spMid" refType="w" fact="0.5"/>
              <dgm:constr type="t" for="ch" forName="spMid"/>
              <dgm:constr type="w" for="ch" forName="spMid" refType="w" fact="0.01"/>
              <dgm:constr type="h" for="ch" forName="spMid" refType="h" fact="0.01"/>
            </dgm:constrLst>
            <dgm:layoutNode name="parTxMid" styleLbl="revTx">
              <dgm:alg type="tx"/>
              <dgm:shape xmlns:r="http://schemas.openxmlformats.org/officeDocument/2006/relationships" type="rect" r:blip="">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21">
              <dgm:if name="Name22" axis="ch" ptType="node" func="cnt" op="gte" val="1">
                <dgm:layoutNode name="desTxMid" styleLbl="revTx">
                  <dgm:varLst>
                    <dgm:bulletEnabled val="1"/>
                  </dgm:varLst>
                  <dgm:choose name="Name23">
                    <dgm:if name="Name24" axis="ch" ptType="node" func="cnt" op="equ" val="1">
                      <dgm:alg type="tx">
                        <dgm:param type="shpTxLTRAlignCh" val="l"/>
                      </dgm:alg>
                    </dgm:if>
                    <dgm:else name="Name25">
                      <dgm:alg type="tx">
                        <dgm:param type="shpTxLTRAlignCh" val="l"/>
                        <dgm:param type="stBulletLvl" val="1"/>
                      </dgm:alg>
                    </dgm:else>
                  </dgm:choose>
                  <dgm:shape xmlns:r="http://schemas.openxmlformats.org/officeDocument/2006/relationships" type="rect" r:blip="">
                    <dgm:adjLst/>
                  </dgm:shape>
                  <dgm:presOf axis="des"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if>
              <dgm:else name="Name26"/>
            </dgm:choose>
            <dgm:layoutNode name="spMid">
              <dgm:alg type="sp"/>
              <dgm:shape xmlns:r="http://schemas.openxmlformats.org/officeDocument/2006/relationships" r:blip="">
                <dgm:adjLst/>
              </dgm:shape>
              <dgm:presOf/>
            </dgm:layoutNode>
          </dgm:layoutNode>
        </dgm:else>
      </dgm:choose>
      <dgm:forEach name="Name27" axis="followSib" ptType="sibTrans" cnt="1">
        <dgm:layoutNode name="chevronComposite1" styleLbl="alignImgPlace1">
          <dgm:alg type="composite"/>
          <dgm:shape xmlns:r="http://schemas.openxmlformats.org/officeDocument/2006/relationships" r:blip="">
            <dgm:adjLst/>
          </dgm:shape>
          <dgm:presOf/>
          <dgm:constrLst>
            <dgm:constr type="l" for="ch" forName="chevron1"/>
            <dgm:constr type="t" for="ch" forName="chevron1" refType="h" fact="0.1923"/>
            <dgm:constr type="w" for="ch" forName="chevron1" refType="w"/>
            <dgm:constr type="b" for="ch" forName="chevron1" refType="h"/>
            <dgm:constr type="l" for="ch" forName="spChevron1"/>
            <dgm:constr type="t" for="ch" forName="spChevron1"/>
            <dgm:constr type="w" for="ch" forName="spChevron1" refType="w" fact="0.01"/>
            <dgm:constr type="h" for="ch" forName="spChevron1" refType="h" fact="0.01"/>
          </dgm:constrLst>
          <dgm:layoutNode name="chevron1">
            <dgm:alg type="sp"/>
            <dgm:choose name="Name28">
              <dgm:if name="Name29" func="var" arg="dir" op="equ" val="norm">
                <dgm:shape xmlns:r="http://schemas.openxmlformats.org/officeDocument/2006/relationships" type="chevron" r:blip="">
                  <dgm:adjLst>
                    <dgm:adj idx="1" val="0.6231"/>
                  </dgm:adjLst>
                </dgm:shape>
              </dgm:if>
              <dgm:else name="Name30">
                <dgm:shape xmlns:r="http://schemas.openxmlformats.org/officeDocument/2006/relationships" rot="180" type="chevron" r:blip="">
                  <dgm:adjLst>
                    <dgm:adj idx="1" val="0.6231"/>
                  </dgm:adjLst>
                </dgm:shape>
              </dgm:else>
            </dgm:choose>
            <dgm:presOf/>
          </dgm:layoutNode>
          <dgm:layoutNode name="spChevron1">
            <dgm:alg type="sp"/>
            <dgm:shape xmlns:r="http://schemas.openxmlformats.org/officeDocument/2006/relationships" r:blip="">
              <dgm:adjLst/>
            </dgm:shape>
            <dgm:presOf/>
          </dgm:layoutNode>
        </dgm:layoutNode>
        <dgm:choose name="Name31">
          <dgm:if name="Name32" axis="root ch" ptType="all node" func="cnt" op="equ" val="2">
            <dgm:layoutNode name="overlap">
              <dgm:alg type="sp"/>
              <dgm:shape xmlns:r="http://schemas.openxmlformats.org/officeDocument/2006/relationships" r:blip="">
                <dgm:adjLst/>
              </dgm:shape>
              <dgm:presOf/>
            </dgm:layoutNode>
            <dgm:layoutNode name="chevronComposite2" styleLbl="alignImgPlace1">
              <dgm:alg type="composite"/>
              <dgm:shape xmlns:r="http://schemas.openxmlformats.org/officeDocument/2006/relationships" r:blip="">
                <dgm:adjLst/>
              </dgm:shape>
              <dgm:presOf/>
              <dgm:constrLst>
                <dgm:constr type="l" for="ch" forName="chevron2"/>
                <dgm:constr type="t" for="ch" forName="chevron2" refType="h" fact="0.1923"/>
                <dgm:constr type="w" for="ch" forName="chevron2" refType="w"/>
                <dgm:constr type="b" for="ch" forName="chevron2" refType="h"/>
                <dgm:constr type="l" for="ch" forName="spChevron2"/>
                <dgm:constr type="t" for="ch" forName="spChevron2"/>
                <dgm:constr type="w" for="ch" forName="spChevron2" refType="w" fact="0.01"/>
                <dgm:constr type="h" for="ch" forName="spChevron2" refType="h" fact="0.01"/>
              </dgm:constrLst>
              <dgm:layoutNode name="chevron2">
                <dgm:alg type="sp"/>
                <dgm:choose name="Name33">
                  <dgm:if name="Name34" func="var" arg="dir" op="equ" val="norm">
                    <dgm:shape xmlns:r="http://schemas.openxmlformats.org/officeDocument/2006/relationships" type="chevron" r:blip="">
                      <dgm:adjLst>
                        <dgm:adj idx="1" val="0.6231"/>
                      </dgm:adjLst>
                    </dgm:shape>
                  </dgm:if>
                  <dgm:else name="Name35">
                    <dgm:shape xmlns:r="http://schemas.openxmlformats.org/officeDocument/2006/relationships" rot="180" type="chevron" r:blip="">
                      <dgm:adjLst>
                        <dgm:adj idx="1" val="0.6231"/>
                      </dgm:adjLst>
                    </dgm:shape>
                  </dgm:else>
                </dgm:choose>
                <dgm:presOf/>
              </dgm:layoutNode>
              <dgm:layoutNode name="spChevron2">
                <dgm:alg type="sp"/>
                <dgm:shape xmlns:r="http://schemas.openxmlformats.org/officeDocument/2006/relationships" r:blip="">
                  <dgm:adjLst/>
                </dgm:shape>
                <dgm:presOf/>
              </dgm:layoutNode>
            </dgm:layoutNode>
          </dgm:if>
          <dgm:else name="Name36"/>
        </dgm:choos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0.76667</cdr:x>
      <cdr:y>0.29028</cdr:y>
    </cdr:from>
    <cdr:to>
      <cdr:x>0.95833</cdr:x>
      <cdr:y>0.85972</cdr:y>
    </cdr:to>
    <cdr:sp macro="" textlink="">
      <cdr:nvSpPr>
        <cdr:cNvPr id="2" name="TextBox 1"/>
        <cdr:cNvSpPr txBox="1"/>
      </cdr:nvSpPr>
      <cdr:spPr>
        <a:xfrm xmlns:a="http://schemas.openxmlformats.org/drawingml/2006/main">
          <a:off x="3505200" y="796290"/>
          <a:ext cx="876300" cy="15621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80BBFE-BB46-4D2A-8655-CD4105A75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1564</Words>
  <Characters>8920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Shane Pendley</dc:creator>
  <cp:lastModifiedBy>Cesar Manent</cp:lastModifiedBy>
  <cp:revision>2</cp:revision>
  <dcterms:created xsi:type="dcterms:W3CDTF">2019-02-06T15:30:00Z</dcterms:created>
  <dcterms:modified xsi:type="dcterms:W3CDTF">2019-02-06T15:30:00Z</dcterms:modified>
</cp:coreProperties>
</file>