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I look up a question that a lot of people are asking and phrase it in a close ended question that can be answered either by YES or NO. Alternatively, you may submit questions and we’ll include them if they are deemed important to answer and to save all our other MedHeads some good money. </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We look at all sides of available research surrounding the question, then apply our proprietary formula to find out how clinically useful this information is in the real world. We assign a confidence number, so you can see how confident we in our answer we are giving you.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I’m now tired of writing and will just show you how it works: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Question: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