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110F" w:rsidRDefault="00E63D84" w:rsidP="00460C2C">
      <w:pPr>
        <w:sectPr w:rsidR="004B110F" w:rsidSect="00276E67">
          <w:pgSz w:w="12240" w:h="15840" w:code="1"/>
          <w:pgMar w:top="504" w:right="1440" w:bottom="504" w:left="1440" w:header="504" w:footer="504" w:gutter="0"/>
          <w:cols w:space="708"/>
          <w:docGrid w:linePitch="360"/>
        </w:sectPr>
      </w:pPr>
      <w:bookmarkStart w:id="0" w:name="_GoBack"/>
      <w:bookmarkEnd w:id="0"/>
      <w:r>
        <w:rPr>
          <w:noProof/>
          <w:lang w:val="en-US" w:eastAsia="en-US"/>
        </w:rPr>
        <w:drawing>
          <wp:anchor distT="0" distB="0" distL="114300" distR="114300" simplePos="0" relativeHeight="251696640" behindDoc="0" locked="0" layoutInCell="1" allowOverlap="1" wp14:anchorId="55820480" wp14:editId="77F37A03">
            <wp:simplePos x="0" y="0"/>
            <wp:positionH relativeFrom="column">
              <wp:posOffset>-895350</wp:posOffset>
            </wp:positionH>
            <wp:positionV relativeFrom="paragraph">
              <wp:posOffset>-324485</wp:posOffset>
            </wp:positionV>
            <wp:extent cx="7830820" cy="10109835"/>
            <wp:effectExtent l="19050" t="0" r="0" b="0"/>
            <wp:wrapNone/>
            <wp:docPr id="21" name="Picture 2" descr="C:\Users\Mimong\Desktop\background\front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mong\Desktop\background\front page.png"/>
                    <pic:cNvPicPr>
                      <a:picLocks noChangeAspect="1" noChangeArrowheads="1"/>
                    </pic:cNvPicPr>
                  </pic:nvPicPr>
                  <pic:blipFill>
                    <a:blip r:embed="rId8"/>
                    <a:srcRect/>
                    <a:stretch>
                      <a:fillRect/>
                    </a:stretch>
                  </pic:blipFill>
                  <pic:spPr bwMode="auto">
                    <a:xfrm>
                      <a:off x="0" y="0"/>
                      <a:ext cx="7830820" cy="10109835"/>
                    </a:xfrm>
                    <a:prstGeom prst="rect">
                      <a:avLst/>
                    </a:prstGeom>
                    <a:noFill/>
                    <a:ln w="9525">
                      <a:noFill/>
                      <a:miter lim="800000"/>
                      <a:headEnd/>
                      <a:tailEnd/>
                    </a:ln>
                  </pic:spPr>
                </pic:pic>
              </a:graphicData>
            </a:graphic>
          </wp:anchor>
        </w:drawing>
      </w:r>
    </w:p>
    <w:p w:rsidR="004B110F" w:rsidRPr="000F22ED" w:rsidRDefault="001B78B5" w:rsidP="00460C2C">
      <w:pPr>
        <w:pStyle w:val="TableofContents"/>
        <w:rPr>
          <w:rFonts w:ascii="Franklin Gothic Demi" w:hAnsi="Franklin Gothic Demi"/>
          <w:color w:val="018BB3"/>
          <w:spacing w:val="26"/>
        </w:rPr>
      </w:pPr>
      <w:r w:rsidRPr="000F22ED">
        <w:rPr>
          <w:rFonts w:ascii="Franklin Gothic Demi" w:hAnsi="Franklin Gothic Demi"/>
          <w:color w:val="018BB3"/>
          <w:spacing w:val="26"/>
        </w:rPr>
        <w:lastRenderedPageBreak/>
        <w:t>Table of Contents</w:t>
      </w:r>
    </w:p>
    <w:p w:rsidR="00D42B52" w:rsidRPr="00D42B52" w:rsidRDefault="00D42B52" w:rsidP="00460C2C">
      <w:pPr>
        <w:rPr>
          <w:sz w:val="4"/>
        </w:rPr>
      </w:pPr>
    </w:p>
    <w:p w:rsidR="002D77A5" w:rsidRDefault="00EB4B1B" w:rsidP="00460C2C">
      <w:pPr>
        <w:pStyle w:val="Sommario1"/>
        <w:rPr>
          <w:rFonts w:asciiTheme="minorHAnsi" w:eastAsiaTheme="minorEastAsia" w:hAnsiTheme="minorHAnsi" w:cstheme="minorBidi"/>
          <w:noProof/>
          <w:color w:val="auto"/>
          <w:sz w:val="22"/>
          <w:szCs w:val="22"/>
          <w:lang w:val="en-US" w:eastAsia="en-US"/>
        </w:rPr>
      </w:pPr>
      <w:r w:rsidRPr="00012B7D">
        <w:fldChar w:fldCharType="begin"/>
      </w:r>
      <w:r w:rsidR="001B78B5" w:rsidRPr="00012B7D">
        <w:instrText>TOC \o "1-2" \h \z \u</w:instrText>
      </w:r>
      <w:r w:rsidRPr="00012B7D">
        <w:fldChar w:fldCharType="separate"/>
      </w:r>
      <w:hyperlink w:anchor="_Toc523439980" w:history="1">
        <w:r w:rsidR="002D77A5" w:rsidRPr="003713DF">
          <w:rPr>
            <w:rStyle w:val="Collegamentoipertestuale"/>
            <w:rFonts w:eastAsia="Times New Roman"/>
            <w:noProof/>
            <w:spacing w:val="26"/>
          </w:rPr>
          <w:t>Summary</w:t>
        </w:r>
        <w:r w:rsidR="002D77A5">
          <w:rPr>
            <w:noProof/>
            <w:webHidden/>
          </w:rPr>
          <w:tab/>
        </w:r>
        <w:r w:rsidR="00296047">
          <w:rPr>
            <w:noProof/>
            <w:webHidden/>
          </w:rPr>
          <w:t>3</w:t>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39981" w:history="1">
        <w:r w:rsidR="002D77A5" w:rsidRPr="003713DF">
          <w:rPr>
            <w:rStyle w:val="Collegamentoipertestuale"/>
            <w:rFonts w:ascii="Franklin Gothic Demi" w:eastAsia="Times New Roman" w:hAnsi="Franklin Gothic Demi" w:cs="Times New Roman"/>
            <w:noProof/>
            <w:spacing w:val="26"/>
          </w:rPr>
          <w:t>Opportunity</w:t>
        </w:r>
        <w:r w:rsidR="002D77A5">
          <w:rPr>
            <w:noProof/>
            <w:webHidden/>
          </w:rPr>
          <w:tab/>
        </w:r>
        <w:r w:rsidR="00296047">
          <w:rPr>
            <w:noProof/>
            <w:webHidden/>
          </w:rPr>
          <w:t>4</w:t>
        </w:r>
      </w:hyperlink>
    </w:p>
    <w:p w:rsidR="002D77A5" w:rsidRDefault="009063A0" w:rsidP="00460C2C">
      <w:pPr>
        <w:pStyle w:val="Sommario1"/>
        <w:rPr>
          <w:rFonts w:asciiTheme="minorHAnsi" w:eastAsiaTheme="minorEastAsia" w:hAnsiTheme="minorHAnsi" w:cstheme="minorBidi"/>
          <w:noProof/>
          <w:color w:val="auto"/>
          <w:sz w:val="22"/>
          <w:szCs w:val="22"/>
          <w:lang w:val="en-US" w:eastAsia="en-US"/>
        </w:rPr>
      </w:pPr>
      <w:hyperlink w:anchor="_Toc523439982" w:history="1">
        <w:r w:rsidR="002D77A5" w:rsidRPr="003713DF">
          <w:rPr>
            <w:rStyle w:val="Collegamentoipertestuale"/>
            <w:noProof/>
            <w:spacing w:val="26"/>
          </w:rPr>
          <w:t>Security Token Offering (STO)</w:t>
        </w:r>
        <w:r w:rsidR="002D77A5">
          <w:rPr>
            <w:noProof/>
            <w:webHidden/>
          </w:rPr>
          <w:tab/>
        </w:r>
        <w:r w:rsidR="00296047">
          <w:rPr>
            <w:noProof/>
            <w:webHidden/>
          </w:rPr>
          <w:t>5</w:t>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39983" w:history="1">
        <w:r w:rsidR="002D77A5" w:rsidRPr="003713DF">
          <w:rPr>
            <w:rStyle w:val="Collegamentoipertestuale"/>
            <w:rFonts w:ascii="Franklin Gothic Demi" w:eastAsia="Times New Roman" w:hAnsi="Franklin Gothic Demi" w:cs="Times New Roman"/>
            <w:noProof/>
            <w:spacing w:val="26"/>
          </w:rPr>
          <w:t>HATS with CFX Sentiment Index on Blockchain</w:t>
        </w:r>
        <w:r w:rsidR="002D77A5">
          <w:rPr>
            <w:noProof/>
            <w:webHidden/>
          </w:rPr>
          <w:tab/>
        </w:r>
        <w:r w:rsidR="00296047">
          <w:rPr>
            <w:noProof/>
            <w:webHidden/>
          </w:rPr>
          <w:t>5</w:t>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39984" w:history="1">
        <w:r w:rsidR="002D77A5" w:rsidRPr="003713DF">
          <w:rPr>
            <w:rStyle w:val="Collegamentoipertestuale"/>
            <w:rFonts w:ascii="Franklin Gothic Demi" w:eastAsia="Times New Roman" w:hAnsi="Franklin Gothic Demi" w:cs="Times New Roman"/>
            <w:noProof/>
            <w:spacing w:val="26"/>
          </w:rPr>
          <w:t>Issuer Details</w:t>
        </w:r>
        <w:r w:rsidR="002D77A5">
          <w:rPr>
            <w:noProof/>
            <w:webHidden/>
          </w:rPr>
          <w:tab/>
        </w:r>
        <w:r w:rsidR="00296047">
          <w:rPr>
            <w:noProof/>
            <w:webHidden/>
          </w:rPr>
          <w:t>8</w:t>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39985" w:history="1">
        <w:r w:rsidR="002D77A5" w:rsidRPr="003713DF">
          <w:rPr>
            <w:rStyle w:val="Collegamentoipertestuale"/>
            <w:rFonts w:ascii="Franklin Gothic Demi" w:eastAsia="Times New Roman" w:hAnsi="Franklin Gothic Demi" w:cs="Times New Roman"/>
            <w:noProof/>
            <w:spacing w:val="26"/>
          </w:rPr>
          <w:t>Issuance Details</w:t>
        </w:r>
        <w:r w:rsidR="002D77A5">
          <w:rPr>
            <w:noProof/>
            <w:webHidden/>
          </w:rPr>
          <w:tab/>
        </w:r>
        <w:r w:rsidR="00296047">
          <w:rPr>
            <w:noProof/>
            <w:webHidden/>
          </w:rPr>
          <w:t>10</w:t>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39986" w:history="1">
        <w:r w:rsidR="002D77A5" w:rsidRPr="003713DF">
          <w:rPr>
            <w:rStyle w:val="Collegamentoipertestuale"/>
            <w:rFonts w:ascii="Franklin Gothic Demi" w:eastAsia="Times New Roman" w:hAnsi="Franklin Gothic Demi" w:cs="Times New Roman"/>
            <w:noProof/>
            <w:spacing w:val="26"/>
          </w:rPr>
          <w:t>CFX Token</w:t>
        </w:r>
        <w:r w:rsidR="002D77A5">
          <w:rPr>
            <w:noProof/>
            <w:webHidden/>
          </w:rPr>
          <w:tab/>
        </w:r>
        <w:r w:rsidR="002D77A5">
          <w:rPr>
            <w:noProof/>
            <w:webHidden/>
          </w:rPr>
          <w:fldChar w:fldCharType="begin"/>
        </w:r>
        <w:r w:rsidR="002D77A5">
          <w:rPr>
            <w:noProof/>
            <w:webHidden/>
          </w:rPr>
          <w:instrText xml:space="preserve"> PAGEREF _Toc523439986 \h </w:instrText>
        </w:r>
        <w:r w:rsidR="002D77A5">
          <w:rPr>
            <w:noProof/>
            <w:webHidden/>
          </w:rPr>
        </w:r>
        <w:r w:rsidR="002D77A5">
          <w:rPr>
            <w:noProof/>
            <w:webHidden/>
          </w:rPr>
          <w:fldChar w:fldCharType="separate"/>
        </w:r>
        <w:r w:rsidR="002D77A5">
          <w:rPr>
            <w:noProof/>
            <w:webHidden/>
          </w:rPr>
          <w:t>1</w:t>
        </w:r>
        <w:r w:rsidR="00296047">
          <w:rPr>
            <w:noProof/>
            <w:webHidden/>
          </w:rPr>
          <w:t>4</w:t>
        </w:r>
        <w:r w:rsidR="002D77A5">
          <w:rPr>
            <w:noProof/>
            <w:webHidden/>
          </w:rPr>
          <w:fldChar w:fldCharType="end"/>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39987" w:history="1">
        <w:r w:rsidR="002D77A5" w:rsidRPr="003713DF">
          <w:rPr>
            <w:rStyle w:val="Collegamentoipertestuale"/>
            <w:rFonts w:ascii="Franklin Gothic Demi" w:eastAsia="Times New Roman" w:hAnsi="Franklin Gothic Demi" w:cs="Times New Roman"/>
            <w:noProof/>
            <w:spacing w:val="26"/>
          </w:rPr>
          <w:t>Milestones/lifecycle</w:t>
        </w:r>
        <w:r w:rsidR="002D77A5">
          <w:rPr>
            <w:noProof/>
            <w:webHidden/>
          </w:rPr>
          <w:tab/>
        </w:r>
        <w:r w:rsidR="002D77A5">
          <w:rPr>
            <w:noProof/>
            <w:webHidden/>
          </w:rPr>
          <w:fldChar w:fldCharType="begin"/>
        </w:r>
        <w:r w:rsidR="002D77A5">
          <w:rPr>
            <w:noProof/>
            <w:webHidden/>
          </w:rPr>
          <w:instrText xml:space="preserve"> PAGEREF _Toc523439987 \h </w:instrText>
        </w:r>
        <w:r w:rsidR="002D77A5">
          <w:rPr>
            <w:noProof/>
            <w:webHidden/>
          </w:rPr>
        </w:r>
        <w:r w:rsidR="002D77A5">
          <w:rPr>
            <w:noProof/>
            <w:webHidden/>
          </w:rPr>
          <w:fldChar w:fldCharType="separate"/>
        </w:r>
        <w:r w:rsidR="002D77A5">
          <w:rPr>
            <w:noProof/>
            <w:webHidden/>
          </w:rPr>
          <w:t>1</w:t>
        </w:r>
        <w:r w:rsidR="00296047">
          <w:rPr>
            <w:noProof/>
            <w:webHidden/>
          </w:rPr>
          <w:t>7</w:t>
        </w:r>
        <w:r w:rsidR="002D77A5">
          <w:rPr>
            <w:noProof/>
            <w:webHidden/>
          </w:rPr>
          <w:fldChar w:fldCharType="end"/>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39988" w:history="1">
        <w:r w:rsidR="002D77A5" w:rsidRPr="003713DF">
          <w:rPr>
            <w:rStyle w:val="Collegamentoipertestuale"/>
            <w:rFonts w:ascii="Franklin Gothic Demi" w:eastAsia="Times New Roman" w:hAnsi="Franklin Gothic Demi" w:cs="Times New Roman"/>
            <w:noProof/>
            <w:spacing w:val="26"/>
          </w:rPr>
          <w:t>Funds Allocation</w:t>
        </w:r>
        <w:r w:rsidR="002D77A5">
          <w:rPr>
            <w:noProof/>
            <w:webHidden/>
          </w:rPr>
          <w:tab/>
        </w:r>
        <w:r w:rsidR="002D77A5">
          <w:rPr>
            <w:noProof/>
            <w:webHidden/>
          </w:rPr>
          <w:fldChar w:fldCharType="begin"/>
        </w:r>
        <w:r w:rsidR="002D77A5">
          <w:rPr>
            <w:noProof/>
            <w:webHidden/>
          </w:rPr>
          <w:instrText xml:space="preserve"> PAGEREF _Toc523439988 \h </w:instrText>
        </w:r>
        <w:r w:rsidR="002D77A5">
          <w:rPr>
            <w:noProof/>
            <w:webHidden/>
          </w:rPr>
        </w:r>
        <w:r w:rsidR="002D77A5">
          <w:rPr>
            <w:noProof/>
            <w:webHidden/>
          </w:rPr>
          <w:fldChar w:fldCharType="separate"/>
        </w:r>
        <w:r w:rsidR="002D77A5">
          <w:rPr>
            <w:noProof/>
            <w:webHidden/>
          </w:rPr>
          <w:t>1</w:t>
        </w:r>
        <w:r w:rsidR="00296047">
          <w:rPr>
            <w:noProof/>
            <w:webHidden/>
          </w:rPr>
          <w:t>9</w:t>
        </w:r>
        <w:r w:rsidR="002D77A5">
          <w:rPr>
            <w:noProof/>
            <w:webHidden/>
          </w:rPr>
          <w:fldChar w:fldCharType="end"/>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39989" w:history="1">
        <w:r w:rsidR="002D77A5" w:rsidRPr="003713DF">
          <w:rPr>
            <w:rStyle w:val="Collegamentoipertestuale"/>
            <w:rFonts w:ascii="Franklin Gothic Demi" w:eastAsia="Times New Roman" w:hAnsi="Franklin Gothic Demi" w:cs="Times New Roman"/>
            <w:noProof/>
            <w:spacing w:val="26"/>
          </w:rPr>
          <w:t>Benefits for third parties and other expenditure</w:t>
        </w:r>
        <w:r w:rsidR="002D77A5">
          <w:rPr>
            <w:noProof/>
            <w:webHidden/>
          </w:rPr>
          <w:tab/>
        </w:r>
        <w:r w:rsidR="00296047">
          <w:rPr>
            <w:noProof/>
            <w:webHidden/>
          </w:rPr>
          <w:t>20</w:t>
        </w:r>
      </w:hyperlink>
    </w:p>
    <w:p w:rsidR="002D77A5" w:rsidRDefault="009063A0" w:rsidP="00460C2C">
      <w:pPr>
        <w:pStyle w:val="Sommario1"/>
        <w:rPr>
          <w:rFonts w:asciiTheme="minorHAnsi" w:eastAsiaTheme="minorEastAsia" w:hAnsiTheme="minorHAnsi" w:cstheme="minorBidi"/>
          <w:noProof/>
          <w:color w:val="auto"/>
          <w:sz w:val="22"/>
          <w:szCs w:val="22"/>
          <w:lang w:val="en-US" w:eastAsia="en-US"/>
        </w:rPr>
      </w:pPr>
      <w:hyperlink w:anchor="_Toc523439990" w:history="1">
        <w:r w:rsidR="002D77A5" w:rsidRPr="003713DF">
          <w:rPr>
            <w:rStyle w:val="Collegamentoipertestuale"/>
            <w:noProof/>
            <w:spacing w:val="26"/>
          </w:rPr>
          <w:t>Expectations</w:t>
        </w:r>
        <w:r w:rsidR="002D77A5">
          <w:rPr>
            <w:noProof/>
            <w:webHidden/>
          </w:rPr>
          <w:tab/>
        </w:r>
        <w:r w:rsidR="00296047">
          <w:rPr>
            <w:noProof/>
            <w:webHidden/>
          </w:rPr>
          <w:t>21</w:t>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39991" w:history="1">
        <w:r w:rsidR="002D77A5" w:rsidRPr="003713DF">
          <w:rPr>
            <w:rStyle w:val="Collegamentoipertestuale"/>
            <w:rFonts w:ascii="Franklin Gothic Demi" w:eastAsia="Times New Roman" w:hAnsi="Franklin Gothic Demi" w:cs="Times New Roman"/>
            <w:noProof/>
            <w:spacing w:val="26"/>
          </w:rPr>
          <w:t>Forecast</w:t>
        </w:r>
        <w:r w:rsidR="002D77A5">
          <w:rPr>
            <w:noProof/>
            <w:webHidden/>
          </w:rPr>
          <w:tab/>
        </w:r>
        <w:r w:rsidR="00296047">
          <w:rPr>
            <w:noProof/>
            <w:webHidden/>
          </w:rPr>
          <w:t>21</w:t>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39992" w:history="1">
        <w:r w:rsidR="002D77A5" w:rsidRPr="003713DF">
          <w:rPr>
            <w:rStyle w:val="Collegamentoipertestuale"/>
            <w:rFonts w:ascii="Franklin Gothic Demi" w:eastAsia="Times New Roman" w:hAnsi="Franklin Gothic Demi" w:cs="Times New Roman"/>
            <w:noProof/>
            <w:spacing w:val="26"/>
          </w:rPr>
          <w:t>Financial Highlights by Year</w:t>
        </w:r>
        <w:r w:rsidR="002D77A5">
          <w:rPr>
            <w:noProof/>
            <w:webHidden/>
          </w:rPr>
          <w:tab/>
        </w:r>
        <w:r w:rsidR="00296047">
          <w:rPr>
            <w:noProof/>
            <w:webHidden/>
          </w:rPr>
          <w:t>22</w:t>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39993" w:history="1">
        <w:r w:rsidR="002D77A5" w:rsidRPr="003713DF">
          <w:rPr>
            <w:rStyle w:val="Collegamentoipertestuale"/>
            <w:rFonts w:ascii="Franklin Gothic Demi" w:eastAsia="Times New Roman" w:hAnsi="Franklin Gothic Demi" w:cs="Times New Roman"/>
            <w:noProof/>
            <w:spacing w:val="26"/>
          </w:rPr>
          <w:t>Target Market</w:t>
        </w:r>
        <w:r w:rsidR="002D77A5">
          <w:rPr>
            <w:noProof/>
            <w:webHidden/>
          </w:rPr>
          <w:tab/>
        </w:r>
        <w:r w:rsidR="00296047">
          <w:rPr>
            <w:noProof/>
            <w:webHidden/>
          </w:rPr>
          <w:t>23</w:t>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39994" w:history="1">
        <w:r w:rsidR="002D77A5" w:rsidRPr="003713DF">
          <w:rPr>
            <w:rStyle w:val="Collegamentoipertestuale"/>
            <w:rFonts w:ascii="Franklin Gothic Demi" w:eastAsia="Times New Roman" w:hAnsi="Franklin Gothic Demi" w:cs="Times New Roman"/>
            <w:noProof/>
            <w:spacing w:val="26"/>
          </w:rPr>
          <w:t>Market Size &amp; Segments</w:t>
        </w:r>
        <w:r w:rsidR="002D77A5">
          <w:rPr>
            <w:noProof/>
            <w:webHidden/>
          </w:rPr>
          <w:tab/>
        </w:r>
        <w:r w:rsidR="00296047">
          <w:rPr>
            <w:noProof/>
            <w:webHidden/>
          </w:rPr>
          <w:t>24</w:t>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39995" w:history="1">
        <w:r w:rsidR="002D77A5" w:rsidRPr="003713DF">
          <w:rPr>
            <w:rStyle w:val="Collegamentoipertestuale"/>
            <w:rFonts w:ascii="Franklin Gothic Demi" w:eastAsia="Times New Roman" w:hAnsi="Franklin Gothic Demi" w:cs="Times New Roman"/>
            <w:noProof/>
            <w:spacing w:val="26"/>
          </w:rPr>
          <w:t>Funds raised by type of investor</w:t>
        </w:r>
        <w:r w:rsidR="002D77A5">
          <w:rPr>
            <w:noProof/>
            <w:webHidden/>
          </w:rPr>
          <w:tab/>
        </w:r>
        <w:r w:rsidR="002D77A5">
          <w:rPr>
            <w:noProof/>
            <w:webHidden/>
          </w:rPr>
          <w:fldChar w:fldCharType="begin"/>
        </w:r>
        <w:r w:rsidR="002D77A5">
          <w:rPr>
            <w:noProof/>
            <w:webHidden/>
          </w:rPr>
          <w:instrText xml:space="preserve"> PAGEREF _Toc523439995 \h </w:instrText>
        </w:r>
        <w:r w:rsidR="002D77A5">
          <w:rPr>
            <w:noProof/>
            <w:webHidden/>
          </w:rPr>
        </w:r>
        <w:r w:rsidR="002D77A5">
          <w:rPr>
            <w:noProof/>
            <w:webHidden/>
          </w:rPr>
          <w:fldChar w:fldCharType="separate"/>
        </w:r>
        <w:r w:rsidR="002D77A5">
          <w:rPr>
            <w:noProof/>
            <w:webHidden/>
          </w:rPr>
          <w:t>2</w:t>
        </w:r>
        <w:r w:rsidR="00296047">
          <w:rPr>
            <w:noProof/>
            <w:webHidden/>
          </w:rPr>
          <w:t>5</w:t>
        </w:r>
        <w:r w:rsidR="002D77A5">
          <w:rPr>
            <w:noProof/>
            <w:webHidden/>
          </w:rPr>
          <w:fldChar w:fldCharType="end"/>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39996" w:history="1">
        <w:r w:rsidR="002D77A5" w:rsidRPr="003713DF">
          <w:rPr>
            <w:rStyle w:val="Collegamentoipertestuale"/>
            <w:rFonts w:ascii="Franklin Gothic Demi" w:eastAsia="Times New Roman" w:hAnsi="Franklin Gothic Demi" w:cs="Times New Roman"/>
            <w:noProof/>
            <w:spacing w:val="26"/>
          </w:rPr>
          <w:t>Market Trends</w:t>
        </w:r>
        <w:r w:rsidR="002D77A5">
          <w:rPr>
            <w:noProof/>
            <w:webHidden/>
          </w:rPr>
          <w:tab/>
        </w:r>
        <w:r w:rsidR="002D77A5">
          <w:rPr>
            <w:noProof/>
            <w:webHidden/>
          </w:rPr>
          <w:fldChar w:fldCharType="begin"/>
        </w:r>
        <w:r w:rsidR="002D77A5">
          <w:rPr>
            <w:noProof/>
            <w:webHidden/>
          </w:rPr>
          <w:instrText xml:space="preserve"> PAGEREF _Toc523439996 \h </w:instrText>
        </w:r>
        <w:r w:rsidR="002D77A5">
          <w:rPr>
            <w:noProof/>
            <w:webHidden/>
          </w:rPr>
        </w:r>
        <w:r w:rsidR="002D77A5">
          <w:rPr>
            <w:noProof/>
            <w:webHidden/>
          </w:rPr>
          <w:fldChar w:fldCharType="separate"/>
        </w:r>
        <w:r w:rsidR="002D77A5">
          <w:rPr>
            <w:noProof/>
            <w:webHidden/>
          </w:rPr>
          <w:t>2</w:t>
        </w:r>
        <w:r w:rsidR="00296047">
          <w:rPr>
            <w:noProof/>
            <w:webHidden/>
          </w:rPr>
          <w:t>5</w:t>
        </w:r>
        <w:r w:rsidR="002D77A5">
          <w:rPr>
            <w:noProof/>
            <w:webHidden/>
          </w:rPr>
          <w:fldChar w:fldCharType="end"/>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39997" w:history="1">
        <w:r w:rsidR="002D77A5" w:rsidRPr="003713DF">
          <w:rPr>
            <w:rStyle w:val="Collegamentoipertestuale"/>
            <w:rFonts w:ascii="Franklin Gothic Demi" w:eastAsia="Times New Roman" w:hAnsi="Franklin Gothic Demi" w:cs="Times New Roman"/>
            <w:noProof/>
            <w:spacing w:val="26"/>
          </w:rPr>
          <w:t>Competition</w:t>
        </w:r>
        <w:r w:rsidR="002D77A5">
          <w:rPr>
            <w:noProof/>
            <w:webHidden/>
          </w:rPr>
          <w:tab/>
        </w:r>
        <w:r w:rsidR="002D77A5">
          <w:rPr>
            <w:noProof/>
            <w:webHidden/>
          </w:rPr>
          <w:fldChar w:fldCharType="begin"/>
        </w:r>
        <w:r w:rsidR="002D77A5">
          <w:rPr>
            <w:noProof/>
            <w:webHidden/>
          </w:rPr>
          <w:instrText xml:space="preserve"> PAGEREF _Toc523439997 \h </w:instrText>
        </w:r>
        <w:r w:rsidR="002D77A5">
          <w:rPr>
            <w:noProof/>
            <w:webHidden/>
          </w:rPr>
        </w:r>
        <w:r w:rsidR="002D77A5">
          <w:rPr>
            <w:noProof/>
            <w:webHidden/>
          </w:rPr>
          <w:fldChar w:fldCharType="separate"/>
        </w:r>
        <w:r w:rsidR="002D77A5">
          <w:rPr>
            <w:noProof/>
            <w:webHidden/>
          </w:rPr>
          <w:t>2</w:t>
        </w:r>
        <w:r w:rsidR="00296047">
          <w:rPr>
            <w:noProof/>
            <w:webHidden/>
          </w:rPr>
          <w:t>7</w:t>
        </w:r>
        <w:r w:rsidR="002D77A5">
          <w:rPr>
            <w:noProof/>
            <w:webHidden/>
          </w:rPr>
          <w:fldChar w:fldCharType="end"/>
        </w:r>
      </w:hyperlink>
    </w:p>
    <w:p w:rsidR="002D77A5" w:rsidRDefault="009063A0" w:rsidP="00460C2C">
      <w:pPr>
        <w:pStyle w:val="Sommario1"/>
        <w:rPr>
          <w:rFonts w:asciiTheme="minorHAnsi" w:eastAsiaTheme="minorEastAsia" w:hAnsiTheme="minorHAnsi" w:cstheme="minorBidi"/>
          <w:noProof/>
          <w:color w:val="auto"/>
          <w:sz w:val="22"/>
          <w:szCs w:val="22"/>
          <w:lang w:val="en-US" w:eastAsia="en-US"/>
        </w:rPr>
      </w:pPr>
      <w:hyperlink w:anchor="_Toc523439998" w:history="1">
        <w:r w:rsidR="002D77A5" w:rsidRPr="003713DF">
          <w:rPr>
            <w:rStyle w:val="Collegamentoipertestuale"/>
            <w:iCs/>
            <w:noProof/>
            <w:spacing w:val="26"/>
          </w:rPr>
          <w:t>Execution</w:t>
        </w:r>
        <w:r w:rsidR="002D77A5">
          <w:rPr>
            <w:noProof/>
            <w:webHidden/>
          </w:rPr>
          <w:tab/>
        </w:r>
        <w:r w:rsidR="002D77A5">
          <w:rPr>
            <w:noProof/>
            <w:webHidden/>
          </w:rPr>
          <w:fldChar w:fldCharType="begin"/>
        </w:r>
        <w:r w:rsidR="002D77A5">
          <w:rPr>
            <w:noProof/>
            <w:webHidden/>
          </w:rPr>
          <w:instrText xml:space="preserve"> PAGEREF _Toc523439998 \h </w:instrText>
        </w:r>
        <w:r w:rsidR="002D77A5">
          <w:rPr>
            <w:noProof/>
            <w:webHidden/>
          </w:rPr>
        </w:r>
        <w:r w:rsidR="002D77A5">
          <w:rPr>
            <w:noProof/>
            <w:webHidden/>
          </w:rPr>
          <w:fldChar w:fldCharType="separate"/>
        </w:r>
        <w:r w:rsidR="002D77A5">
          <w:rPr>
            <w:noProof/>
            <w:webHidden/>
          </w:rPr>
          <w:t>2</w:t>
        </w:r>
        <w:r w:rsidR="00296047">
          <w:rPr>
            <w:noProof/>
            <w:webHidden/>
          </w:rPr>
          <w:t>9</w:t>
        </w:r>
        <w:r w:rsidR="002D77A5">
          <w:rPr>
            <w:noProof/>
            <w:webHidden/>
          </w:rPr>
          <w:fldChar w:fldCharType="end"/>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39999" w:history="1">
        <w:r w:rsidR="002D77A5" w:rsidRPr="003713DF">
          <w:rPr>
            <w:rStyle w:val="Collegamentoipertestuale"/>
            <w:rFonts w:ascii="Franklin Gothic Demi" w:eastAsia="Times New Roman" w:hAnsi="Franklin Gothic Demi" w:cs="Times New Roman"/>
            <w:noProof/>
            <w:spacing w:val="26"/>
          </w:rPr>
          <w:t>Marketing &amp; Sales</w:t>
        </w:r>
        <w:r w:rsidR="002D77A5">
          <w:rPr>
            <w:noProof/>
            <w:webHidden/>
          </w:rPr>
          <w:tab/>
        </w:r>
        <w:r w:rsidR="002D77A5">
          <w:rPr>
            <w:noProof/>
            <w:webHidden/>
          </w:rPr>
          <w:fldChar w:fldCharType="begin"/>
        </w:r>
        <w:r w:rsidR="002D77A5">
          <w:rPr>
            <w:noProof/>
            <w:webHidden/>
          </w:rPr>
          <w:instrText xml:space="preserve"> PAGEREF _Toc523439999 \h </w:instrText>
        </w:r>
        <w:r w:rsidR="002D77A5">
          <w:rPr>
            <w:noProof/>
            <w:webHidden/>
          </w:rPr>
        </w:r>
        <w:r w:rsidR="002D77A5">
          <w:rPr>
            <w:noProof/>
            <w:webHidden/>
          </w:rPr>
          <w:fldChar w:fldCharType="separate"/>
        </w:r>
        <w:r w:rsidR="002D77A5">
          <w:rPr>
            <w:noProof/>
            <w:webHidden/>
          </w:rPr>
          <w:t>2</w:t>
        </w:r>
        <w:r w:rsidR="00B92C65">
          <w:rPr>
            <w:noProof/>
            <w:webHidden/>
          </w:rPr>
          <w:t>9</w:t>
        </w:r>
        <w:r w:rsidR="002D77A5">
          <w:rPr>
            <w:noProof/>
            <w:webHidden/>
          </w:rPr>
          <w:fldChar w:fldCharType="end"/>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40000" w:history="1">
        <w:r w:rsidR="002D77A5" w:rsidRPr="003713DF">
          <w:rPr>
            <w:rStyle w:val="Collegamentoipertestuale"/>
            <w:rFonts w:ascii="Franklin Gothic Demi" w:eastAsia="Times New Roman" w:hAnsi="Franklin Gothic Demi" w:cs="Times New Roman"/>
            <w:noProof/>
            <w:spacing w:val="26"/>
          </w:rPr>
          <w:t>Operations</w:t>
        </w:r>
        <w:r w:rsidR="002D77A5">
          <w:rPr>
            <w:noProof/>
            <w:webHidden/>
          </w:rPr>
          <w:tab/>
        </w:r>
        <w:r w:rsidR="002D77A5">
          <w:rPr>
            <w:noProof/>
            <w:webHidden/>
          </w:rPr>
          <w:fldChar w:fldCharType="begin"/>
        </w:r>
        <w:r w:rsidR="002D77A5">
          <w:rPr>
            <w:noProof/>
            <w:webHidden/>
          </w:rPr>
          <w:instrText xml:space="preserve"> PAGEREF _Toc523440000 \h </w:instrText>
        </w:r>
        <w:r w:rsidR="002D77A5">
          <w:rPr>
            <w:noProof/>
            <w:webHidden/>
          </w:rPr>
        </w:r>
        <w:r w:rsidR="002D77A5">
          <w:rPr>
            <w:noProof/>
            <w:webHidden/>
          </w:rPr>
          <w:fldChar w:fldCharType="separate"/>
        </w:r>
        <w:r w:rsidR="002D77A5">
          <w:rPr>
            <w:noProof/>
            <w:webHidden/>
          </w:rPr>
          <w:t>3</w:t>
        </w:r>
        <w:r w:rsidR="00B92C65">
          <w:rPr>
            <w:noProof/>
            <w:webHidden/>
          </w:rPr>
          <w:t>4</w:t>
        </w:r>
        <w:r w:rsidR="002D77A5">
          <w:rPr>
            <w:noProof/>
            <w:webHidden/>
          </w:rPr>
          <w:fldChar w:fldCharType="end"/>
        </w:r>
      </w:hyperlink>
    </w:p>
    <w:p w:rsidR="002D77A5" w:rsidRDefault="009063A0" w:rsidP="00460C2C">
      <w:pPr>
        <w:pStyle w:val="Sommario1"/>
        <w:rPr>
          <w:rFonts w:asciiTheme="minorHAnsi" w:eastAsiaTheme="minorEastAsia" w:hAnsiTheme="minorHAnsi" w:cstheme="minorBidi"/>
          <w:noProof/>
          <w:color w:val="auto"/>
          <w:sz w:val="22"/>
          <w:szCs w:val="22"/>
          <w:lang w:val="en-US" w:eastAsia="en-US"/>
        </w:rPr>
      </w:pPr>
      <w:hyperlink w:anchor="_Toc523440001" w:history="1">
        <w:r w:rsidR="002D77A5" w:rsidRPr="003713DF">
          <w:rPr>
            <w:rStyle w:val="Collegamentoipertestuale"/>
            <w:rFonts w:eastAsia="Times New Roman"/>
            <w:noProof/>
            <w:spacing w:val="26"/>
          </w:rPr>
          <w:t>Company</w:t>
        </w:r>
        <w:r w:rsidR="002D77A5">
          <w:rPr>
            <w:noProof/>
            <w:webHidden/>
          </w:rPr>
          <w:tab/>
        </w:r>
        <w:r w:rsidR="002D77A5">
          <w:rPr>
            <w:noProof/>
            <w:webHidden/>
          </w:rPr>
          <w:fldChar w:fldCharType="begin"/>
        </w:r>
        <w:r w:rsidR="002D77A5">
          <w:rPr>
            <w:noProof/>
            <w:webHidden/>
          </w:rPr>
          <w:instrText xml:space="preserve"> PAGEREF _Toc523440001 \h </w:instrText>
        </w:r>
        <w:r w:rsidR="002D77A5">
          <w:rPr>
            <w:noProof/>
            <w:webHidden/>
          </w:rPr>
        </w:r>
        <w:r w:rsidR="002D77A5">
          <w:rPr>
            <w:noProof/>
            <w:webHidden/>
          </w:rPr>
          <w:fldChar w:fldCharType="separate"/>
        </w:r>
        <w:r w:rsidR="002D77A5">
          <w:rPr>
            <w:noProof/>
            <w:webHidden/>
          </w:rPr>
          <w:t>38</w:t>
        </w:r>
        <w:r w:rsidR="002D77A5">
          <w:rPr>
            <w:noProof/>
            <w:webHidden/>
          </w:rPr>
          <w:fldChar w:fldCharType="end"/>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40002" w:history="1">
        <w:r w:rsidR="002D77A5" w:rsidRPr="003713DF">
          <w:rPr>
            <w:rStyle w:val="Collegamentoipertestuale"/>
            <w:rFonts w:ascii="Franklin Gothic Demi" w:eastAsia="Times New Roman" w:hAnsi="Franklin Gothic Demi" w:cs="Times New Roman"/>
            <w:noProof/>
            <w:spacing w:val="26"/>
          </w:rPr>
          <w:t>Overview</w:t>
        </w:r>
        <w:r w:rsidR="002D77A5">
          <w:rPr>
            <w:noProof/>
            <w:webHidden/>
          </w:rPr>
          <w:tab/>
        </w:r>
        <w:r w:rsidR="00B92C65">
          <w:rPr>
            <w:noProof/>
            <w:webHidden/>
          </w:rPr>
          <w:t>41</w:t>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40003" w:history="1">
        <w:r w:rsidR="002D77A5" w:rsidRPr="003713DF">
          <w:rPr>
            <w:rStyle w:val="Collegamentoipertestuale"/>
            <w:rFonts w:ascii="Franklin Gothic Demi" w:eastAsia="Times New Roman" w:hAnsi="Franklin Gothic Demi" w:cs="Times New Roman"/>
            <w:noProof/>
            <w:spacing w:val="26"/>
          </w:rPr>
          <w:t>Advisors</w:t>
        </w:r>
        <w:r w:rsidR="002D77A5">
          <w:rPr>
            <w:noProof/>
            <w:webHidden/>
          </w:rPr>
          <w:tab/>
        </w:r>
        <w:r w:rsidR="00B92C65">
          <w:rPr>
            <w:noProof/>
            <w:webHidden/>
          </w:rPr>
          <w:t>42</w:t>
        </w:r>
      </w:hyperlink>
    </w:p>
    <w:p w:rsidR="002D77A5" w:rsidRDefault="009063A0" w:rsidP="00460C2C">
      <w:pPr>
        <w:pStyle w:val="Sommario1"/>
        <w:rPr>
          <w:rFonts w:asciiTheme="minorHAnsi" w:eastAsiaTheme="minorEastAsia" w:hAnsiTheme="minorHAnsi" w:cstheme="minorBidi"/>
          <w:noProof/>
          <w:color w:val="auto"/>
          <w:sz w:val="22"/>
          <w:szCs w:val="22"/>
          <w:lang w:val="en-US" w:eastAsia="en-US"/>
        </w:rPr>
      </w:pPr>
      <w:hyperlink w:anchor="_Toc523440004" w:history="1">
        <w:r w:rsidR="002D77A5" w:rsidRPr="003713DF">
          <w:rPr>
            <w:rStyle w:val="Collegamentoipertestuale"/>
            <w:rFonts w:eastAsia="Times New Roman"/>
            <w:noProof/>
            <w:spacing w:val="26"/>
          </w:rPr>
          <w:t>Financial Plan</w:t>
        </w:r>
        <w:r w:rsidR="002D77A5">
          <w:rPr>
            <w:noProof/>
            <w:webHidden/>
          </w:rPr>
          <w:tab/>
        </w:r>
        <w:r w:rsidR="00B92C65">
          <w:rPr>
            <w:noProof/>
            <w:webHidden/>
          </w:rPr>
          <w:t>42</w:t>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40005" w:history="1">
        <w:r w:rsidR="002D77A5" w:rsidRPr="003713DF">
          <w:rPr>
            <w:rStyle w:val="Collegamentoipertestuale"/>
            <w:rFonts w:ascii="Franklin Gothic Demi" w:eastAsia="Times New Roman" w:hAnsi="Franklin Gothic Demi" w:cs="Times New Roman"/>
            <w:noProof/>
            <w:spacing w:val="26"/>
            <w:lang w:val="en-US" w:eastAsia="en-US"/>
          </w:rPr>
          <w:t>Forecast</w:t>
        </w:r>
        <w:r w:rsidR="002D77A5">
          <w:rPr>
            <w:noProof/>
            <w:webHidden/>
          </w:rPr>
          <w:tab/>
        </w:r>
        <w:r w:rsidR="00B92C65">
          <w:rPr>
            <w:noProof/>
            <w:webHidden/>
          </w:rPr>
          <w:t>42</w:t>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40006" w:history="1">
        <w:r w:rsidR="002D77A5" w:rsidRPr="003713DF">
          <w:rPr>
            <w:rStyle w:val="Collegamentoipertestuale"/>
            <w:rFonts w:ascii="Franklin Gothic Demi" w:eastAsia="Times New Roman" w:hAnsi="Franklin Gothic Demi" w:cs="Times New Roman"/>
            <w:noProof/>
            <w:spacing w:val="26"/>
            <w:lang w:val="en-US" w:eastAsia="en-US"/>
          </w:rPr>
          <w:t>Financing</w:t>
        </w:r>
        <w:r w:rsidR="002D77A5">
          <w:rPr>
            <w:noProof/>
            <w:webHidden/>
          </w:rPr>
          <w:tab/>
        </w:r>
        <w:r w:rsidR="00B92C65">
          <w:rPr>
            <w:noProof/>
            <w:webHidden/>
          </w:rPr>
          <w:t>47</w:t>
        </w:r>
      </w:hyperlink>
    </w:p>
    <w:p w:rsidR="002D77A5" w:rsidRDefault="009063A0" w:rsidP="00460C2C">
      <w:pPr>
        <w:pStyle w:val="Sommario1"/>
        <w:rPr>
          <w:rFonts w:asciiTheme="minorHAnsi" w:eastAsiaTheme="minorEastAsia" w:hAnsiTheme="minorHAnsi" w:cstheme="minorBidi"/>
          <w:noProof/>
          <w:color w:val="auto"/>
          <w:sz w:val="22"/>
          <w:szCs w:val="22"/>
          <w:lang w:val="en-US" w:eastAsia="en-US"/>
        </w:rPr>
      </w:pPr>
      <w:hyperlink w:anchor="_Toc523440007" w:history="1">
        <w:r w:rsidR="002D77A5" w:rsidRPr="003713DF">
          <w:rPr>
            <w:rStyle w:val="Collegamentoipertestuale"/>
            <w:noProof/>
            <w:spacing w:val="26"/>
          </w:rPr>
          <w:t>Appendix</w:t>
        </w:r>
        <w:r w:rsidR="002D77A5">
          <w:rPr>
            <w:noProof/>
            <w:webHidden/>
          </w:rPr>
          <w:tab/>
        </w:r>
        <w:r w:rsidR="00B92C65">
          <w:rPr>
            <w:noProof/>
            <w:webHidden/>
          </w:rPr>
          <w:t>51</w:t>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40008" w:history="1">
        <w:r w:rsidR="002D77A5" w:rsidRPr="003713DF">
          <w:rPr>
            <w:rStyle w:val="Collegamentoipertestuale"/>
            <w:rFonts w:ascii="Franklin Gothic Demi" w:eastAsia="Times New Roman" w:hAnsi="Franklin Gothic Demi" w:cs="Times New Roman"/>
            <w:noProof/>
            <w:spacing w:val="26"/>
          </w:rPr>
          <w:t>Profit and Loss Statement (With monthly detail)</w:t>
        </w:r>
        <w:r w:rsidR="002D77A5">
          <w:rPr>
            <w:noProof/>
            <w:webHidden/>
          </w:rPr>
          <w:tab/>
        </w:r>
        <w:r w:rsidR="00B92C65">
          <w:rPr>
            <w:noProof/>
            <w:webHidden/>
          </w:rPr>
          <w:t>51</w:t>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40009" w:history="1">
        <w:r w:rsidR="002D77A5" w:rsidRPr="003713DF">
          <w:rPr>
            <w:rStyle w:val="Collegamentoipertestuale"/>
            <w:rFonts w:ascii="Franklin Gothic Demi" w:eastAsia="Times New Roman" w:hAnsi="Franklin Gothic Demi" w:cs="Times New Roman"/>
            <w:noProof/>
            <w:spacing w:val="26"/>
          </w:rPr>
          <w:t>Balance Sheet (With Monthly Detail)</w:t>
        </w:r>
        <w:r w:rsidR="002D77A5">
          <w:rPr>
            <w:noProof/>
            <w:webHidden/>
          </w:rPr>
          <w:tab/>
        </w:r>
        <w:r w:rsidR="00B92C65">
          <w:rPr>
            <w:noProof/>
            <w:webHidden/>
          </w:rPr>
          <w:t>53</w:t>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40010" w:history="1">
        <w:r w:rsidR="002D77A5" w:rsidRPr="003713DF">
          <w:rPr>
            <w:rStyle w:val="Collegamentoipertestuale"/>
            <w:rFonts w:ascii="Franklin Gothic Demi" w:eastAsia="Times New Roman" w:hAnsi="Franklin Gothic Demi" w:cs="Times New Roman"/>
            <w:noProof/>
            <w:spacing w:val="26"/>
          </w:rPr>
          <w:t>Cash Flow Statement (With Monthly Detail)</w:t>
        </w:r>
        <w:r w:rsidR="002D77A5">
          <w:rPr>
            <w:noProof/>
            <w:webHidden/>
          </w:rPr>
          <w:tab/>
        </w:r>
        <w:r w:rsidR="002D77A5">
          <w:rPr>
            <w:noProof/>
            <w:webHidden/>
          </w:rPr>
          <w:fldChar w:fldCharType="begin"/>
        </w:r>
        <w:r w:rsidR="002D77A5">
          <w:rPr>
            <w:noProof/>
            <w:webHidden/>
          </w:rPr>
          <w:instrText xml:space="preserve"> PAGEREF _Toc523440010 \h </w:instrText>
        </w:r>
        <w:r w:rsidR="002D77A5">
          <w:rPr>
            <w:noProof/>
            <w:webHidden/>
          </w:rPr>
        </w:r>
        <w:r w:rsidR="002D77A5">
          <w:rPr>
            <w:noProof/>
            <w:webHidden/>
          </w:rPr>
          <w:fldChar w:fldCharType="separate"/>
        </w:r>
        <w:r w:rsidR="002D77A5">
          <w:rPr>
            <w:noProof/>
            <w:webHidden/>
          </w:rPr>
          <w:t>5</w:t>
        </w:r>
        <w:r w:rsidR="00B92C65">
          <w:rPr>
            <w:noProof/>
            <w:webHidden/>
          </w:rPr>
          <w:t>5</w:t>
        </w:r>
        <w:r w:rsidR="002D77A5">
          <w:rPr>
            <w:noProof/>
            <w:webHidden/>
          </w:rPr>
          <w:fldChar w:fldCharType="end"/>
        </w:r>
      </w:hyperlink>
    </w:p>
    <w:p w:rsidR="002D77A5" w:rsidRDefault="009063A0" w:rsidP="00460C2C">
      <w:pPr>
        <w:pStyle w:val="Sommario1"/>
        <w:rPr>
          <w:rFonts w:asciiTheme="minorHAnsi" w:eastAsiaTheme="minorEastAsia" w:hAnsiTheme="minorHAnsi" w:cstheme="minorBidi"/>
          <w:noProof/>
          <w:color w:val="auto"/>
          <w:sz w:val="22"/>
          <w:szCs w:val="22"/>
          <w:lang w:val="en-US" w:eastAsia="en-US"/>
        </w:rPr>
      </w:pPr>
      <w:hyperlink w:anchor="_Toc523440011" w:history="1">
        <w:r w:rsidR="002D77A5" w:rsidRPr="003713DF">
          <w:rPr>
            <w:rStyle w:val="Collegamentoipertestuale"/>
            <w:noProof/>
            <w:spacing w:val="26"/>
          </w:rPr>
          <w:t>Token Risk Factors</w:t>
        </w:r>
        <w:r w:rsidR="002D77A5">
          <w:rPr>
            <w:noProof/>
            <w:webHidden/>
          </w:rPr>
          <w:tab/>
        </w:r>
        <w:r w:rsidR="002D77A5">
          <w:rPr>
            <w:noProof/>
            <w:webHidden/>
          </w:rPr>
          <w:fldChar w:fldCharType="begin"/>
        </w:r>
        <w:r w:rsidR="002D77A5">
          <w:rPr>
            <w:noProof/>
            <w:webHidden/>
          </w:rPr>
          <w:instrText xml:space="preserve"> PAGEREF _Toc523440011 \h </w:instrText>
        </w:r>
        <w:r w:rsidR="002D77A5">
          <w:rPr>
            <w:noProof/>
            <w:webHidden/>
          </w:rPr>
        </w:r>
        <w:r w:rsidR="002D77A5">
          <w:rPr>
            <w:noProof/>
            <w:webHidden/>
          </w:rPr>
          <w:fldChar w:fldCharType="separate"/>
        </w:r>
        <w:r w:rsidR="002D77A5">
          <w:rPr>
            <w:noProof/>
            <w:webHidden/>
          </w:rPr>
          <w:t>5</w:t>
        </w:r>
        <w:r w:rsidR="00B92C65">
          <w:rPr>
            <w:noProof/>
            <w:webHidden/>
          </w:rPr>
          <w:t>7</w:t>
        </w:r>
        <w:r w:rsidR="002D77A5">
          <w:rPr>
            <w:noProof/>
            <w:webHidden/>
          </w:rPr>
          <w:fldChar w:fldCharType="end"/>
        </w:r>
      </w:hyperlink>
    </w:p>
    <w:p w:rsidR="002D77A5" w:rsidRDefault="009063A0" w:rsidP="00460C2C">
      <w:pPr>
        <w:pStyle w:val="Sommario2"/>
        <w:rPr>
          <w:rFonts w:asciiTheme="minorHAnsi" w:eastAsiaTheme="minorEastAsia" w:hAnsiTheme="minorHAnsi" w:cstheme="minorBidi"/>
          <w:b w:val="0"/>
          <w:noProof/>
          <w:color w:val="auto"/>
          <w:sz w:val="22"/>
          <w:szCs w:val="22"/>
          <w:lang w:val="en-US" w:eastAsia="en-US"/>
        </w:rPr>
      </w:pPr>
      <w:hyperlink w:anchor="_Toc523440012" w:history="1">
        <w:r w:rsidR="002D77A5" w:rsidRPr="003713DF">
          <w:rPr>
            <w:rStyle w:val="Collegamentoipertestuale"/>
            <w:rFonts w:ascii="Franklin Gothic Demi" w:eastAsia="Times New Roman" w:hAnsi="Franklin Gothic Demi" w:cs="Times New Roman"/>
            <w:noProof/>
            <w:spacing w:val="26"/>
          </w:rPr>
          <w:t>Risk Factors Relating to Purchase, Sale, and Use of Tokens</w:t>
        </w:r>
        <w:r w:rsidR="002D77A5">
          <w:rPr>
            <w:noProof/>
            <w:webHidden/>
          </w:rPr>
          <w:tab/>
        </w:r>
        <w:r w:rsidR="002D77A5">
          <w:rPr>
            <w:noProof/>
            <w:webHidden/>
          </w:rPr>
          <w:fldChar w:fldCharType="begin"/>
        </w:r>
        <w:r w:rsidR="002D77A5">
          <w:rPr>
            <w:noProof/>
            <w:webHidden/>
          </w:rPr>
          <w:instrText xml:space="preserve"> PAGEREF _Toc523440012 \h </w:instrText>
        </w:r>
        <w:r w:rsidR="002D77A5">
          <w:rPr>
            <w:noProof/>
            <w:webHidden/>
          </w:rPr>
        </w:r>
        <w:r w:rsidR="002D77A5">
          <w:rPr>
            <w:noProof/>
            <w:webHidden/>
          </w:rPr>
          <w:fldChar w:fldCharType="separate"/>
        </w:r>
        <w:r w:rsidR="002D77A5">
          <w:rPr>
            <w:noProof/>
            <w:webHidden/>
          </w:rPr>
          <w:t>5</w:t>
        </w:r>
        <w:r w:rsidR="00B92C65">
          <w:rPr>
            <w:noProof/>
            <w:webHidden/>
          </w:rPr>
          <w:t>7</w:t>
        </w:r>
        <w:r w:rsidR="002D77A5">
          <w:rPr>
            <w:noProof/>
            <w:webHidden/>
          </w:rPr>
          <w:fldChar w:fldCharType="end"/>
        </w:r>
      </w:hyperlink>
    </w:p>
    <w:p w:rsidR="003B268E" w:rsidRDefault="00EB4B1B" w:rsidP="00460C2C">
      <w:pPr>
        <w:pStyle w:val="TableofContents"/>
      </w:pPr>
      <w:r w:rsidRPr="00012B7D">
        <w:rPr>
          <w:rFonts w:ascii="Franklin Gothic Demi" w:hAnsi="Franklin Gothic Demi" w:cs="Times New Roman"/>
          <w:sz w:val="28"/>
          <w:szCs w:val="28"/>
        </w:rPr>
        <w:fldChar w:fldCharType="end"/>
      </w:r>
    </w:p>
    <w:tbl>
      <w:tblPr>
        <w:tblStyle w:val="Grigliatabella"/>
        <w:tblpPr w:leftFromText="180" w:rightFromText="180" w:vertAnchor="text" w:horzAnchor="margin" w:tblpY="193"/>
        <w:tblW w:w="0" w:type="auto"/>
        <w:tblBorders>
          <w:top w:val="none" w:sz="0" w:space="0" w:color="auto"/>
          <w:left w:val="none" w:sz="0" w:space="0" w:color="auto"/>
          <w:bottom w:val="single" w:sz="12" w:space="0" w:color="018BB3"/>
          <w:right w:val="none" w:sz="0" w:space="0" w:color="auto"/>
          <w:insideH w:val="none" w:sz="0" w:space="0" w:color="auto"/>
          <w:insideV w:val="none" w:sz="0" w:space="0" w:color="auto"/>
        </w:tblBorders>
        <w:tblCellMar>
          <w:top w:w="288" w:type="dxa"/>
          <w:left w:w="115" w:type="dxa"/>
          <w:bottom w:w="288" w:type="dxa"/>
          <w:right w:w="115" w:type="dxa"/>
        </w:tblCellMar>
        <w:tblLook w:val="04A0" w:firstRow="1" w:lastRow="0" w:firstColumn="1" w:lastColumn="0" w:noHBand="0" w:noVBand="1"/>
      </w:tblPr>
      <w:tblGrid>
        <w:gridCol w:w="9360"/>
      </w:tblGrid>
      <w:tr w:rsidR="003B268E" w:rsidTr="003B268E">
        <w:trPr>
          <w:trHeight w:val="18"/>
        </w:trPr>
        <w:tc>
          <w:tcPr>
            <w:tcW w:w="9360" w:type="dxa"/>
          </w:tcPr>
          <w:p w:rsidR="003B268E" w:rsidRPr="00B50DB3" w:rsidRDefault="003B268E" w:rsidP="00460C2C">
            <w:pPr>
              <w:pStyle w:val="Titolo1"/>
              <w:spacing w:before="100" w:after="100"/>
              <w:rPr>
                <w:rFonts w:ascii="Franklin Gothic Demi" w:eastAsia="Times New Roman" w:hAnsi="Franklin Gothic Demi" w:cs="Times New Roman"/>
                <w:b w:val="0"/>
                <w:bCs w:val="0"/>
                <w:color w:val="018BB3"/>
                <w:spacing w:val="26"/>
                <w:kern w:val="0"/>
                <w:szCs w:val="44"/>
              </w:rPr>
            </w:pPr>
            <w:bookmarkStart w:id="1" w:name="_Toc523439980"/>
            <w:bookmarkStart w:id="2" w:name="_Toc256000057"/>
            <w:bookmarkStart w:id="3" w:name="_Toc256000038"/>
            <w:bookmarkStart w:id="4" w:name="_Toc256000019"/>
            <w:bookmarkStart w:id="5" w:name="_Toc256000000"/>
            <w:r w:rsidRPr="00B50DB3">
              <w:rPr>
                <w:rFonts w:ascii="Franklin Gothic Demi" w:eastAsia="Times New Roman" w:hAnsi="Franklin Gothic Demi" w:cs="Times New Roman"/>
                <w:b w:val="0"/>
                <w:bCs w:val="0"/>
                <w:color w:val="018BB3"/>
                <w:spacing w:val="26"/>
                <w:kern w:val="0"/>
                <w:szCs w:val="44"/>
              </w:rPr>
              <w:lastRenderedPageBreak/>
              <w:t>Summary</w:t>
            </w:r>
            <w:bookmarkEnd w:id="1"/>
          </w:p>
        </w:tc>
      </w:tr>
    </w:tbl>
    <w:bookmarkEnd w:id="2"/>
    <w:bookmarkEnd w:id="3"/>
    <w:bookmarkEnd w:id="4"/>
    <w:bookmarkEnd w:id="5"/>
    <w:p w:rsidR="008A5337" w:rsidRPr="00981A00" w:rsidRDefault="003B268E" w:rsidP="00460C2C">
      <w:pPr>
        <w:rPr>
          <w:rFonts w:asciiTheme="majorHAnsi" w:hAnsiTheme="majorHAnsi" w:cs="Arial"/>
          <w:b/>
        </w:rPr>
      </w:pPr>
      <w:r>
        <w:rPr>
          <w:rFonts w:ascii="Trebuchet MS" w:eastAsia="Trebuchet MS" w:hAnsi="Trebuchet MS" w:cs="Trebuchet MS"/>
          <w:b/>
          <w:color w:val="000000"/>
          <w:sz w:val="44"/>
          <w:szCs w:val="20"/>
        </w:rPr>
        <w:br/>
      </w:r>
      <w:r w:rsidR="00664157" w:rsidRPr="00981A00">
        <w:rPr>
          <w:rFonts w:asciiTheme="majorHAnsi" w:hAnsiTheme="majorHAnsi" w:cs="Arial"/>
          <w:b/>
        </w:rPr>
        <w:t>This whitepaper is not a prospectus or solicitation</w:t>
      </w:r>
      <w:r w:rsidR="00981A00" w:rsidRPr="00981A00">
        <w:rPr>
          <w:rFonts w:asciiTheme="majorHAnsi" w:hAnsiTheme="majorHAnsi" w:cs="Arial"/>
          <w:b/>
        </w:rPr>
        <w:t>.</w:t>
      </w:r>
    </w:p>
    <w:p w:rsidR="008A5337" w:rsidRPr="00E024C4" w:rsidRDefault="008A5337" w:rsidP="00460C2C">
      <w:pPr>
        <w:rPr>
          <w:rFonts w:asciiTheme="majorHAnsi" w:hAnsiTheme="majorHAnsi"/>
        </w:rPr>
      </w:pPr>
    </w:p>
    <w:p w:rsidR="008A5337" w:rsidRDefault="008A5337" w:rsidP="00460C2C">
      <w:pPr>
        <w:rPr>
          <w:rFonts w:asciiTheme="majorHAnsi" w:hAnsiTheme="majorHAnsi"/>
        </w:rPr>
      </w:pPr>
      <w:r w:rsidRPr="00981A00">
        <w:rPr>
          <w:rFonts w:asciiTheme="majorHAnsi" w:hAnsiTheme="majorHAnsi"/>
          <w:b/>
        </w:rPr>
        <w:t>Investor Warning</w:t>
      </w:r>
      <w:r w:rsidRPr="00E024C4">
        <w:rPr>
          <w:rFonts w:asciiTheme="majorHAnsi" w:hAnsiTheme="majorHAnsi"/>
        </w:rPr>
        <w:t>: Evaluate the full whitepaper before investing.</w:t>
      </w:r>
    </w:p>
    <w:p w:rsidR="00682692" w:rsidRDefault="00682692" w:rsidP="00460C2C">
      <w:pPr>
        <w:rPr>
          <w:rFonts w:asciiTheme="majorHAnsi" w:hAnsiTheme="majorHAnsi"/>
        </w:rPr>
      </w:pPr>
    </w:p>
    <w:p w:rsidR="00682692" w:rsidRPr="00E024C4" w:rsidRDefault="00682692" w:rsidP="00460C2C">
      <w:pPr>
        <w:rPr>
          <w:rFonts w:asciiTheme="majorHAnsi" w:hAnsiTheme="majorHAnsi"/>
        </w:rPr>
      </w:pPr>
      <w:r w:rsidRPr="00E024C4">
        <w:rPr>
          <w:rFonts w:asciiTheme="majorHAnsi" w:hAnsiTheme="majorHAnsi"/>
          <w:b/>
        </w:rPr>
        <w:t>Issuer Warning</w:t>
      </w:r>
      <w:r w:rsidRPr="00E024C4">
        <w:rPr>
          <w:rFonts w:asciiTheme="majorHAnsi" w:hAnsiTheme="majorHAnsi"/>
        </w:rPr>
        <w:t>: Civil liability attaches to the persons who table this summary.</w:t>
      </w:r>
    </w:p>
    <w:p w:rsidR="008A5337" w:rsidRPr="00E024C4" w:rsidRDefault="008A5337" w:rsidP="00460C2C">
      <w:pPr>
        <w:rPr>
          <w:rFonts w:asciiTheme="majorHAnsi" w:hAnsiTheme="majorHAnsi"/>
        </w:rPr>
      </w:pPr>
    </w:p>
    <w:p w:rsidR="008A5337" w:rsidRPr="00E024C4" w:rsidRDefault="008A5337" w:rsidP="00460C2C">
      <w:pPr>
        <w:rPr>
          <w:rFonts w:asciiTheme="majorHAnsi" w:hAnsiTheme="majorHAnsi"/>
        </w:rPr>
      </w:pPr>
      <w:r w:rsidRPr="00E024C4">
        <w:rPr>
          <w:rFonts w:asciiTheme="majorHAnsi" w:hAnsiTheme="majorHAnsi"/>
          <w:b/>
        </w:rPr>
        <w:t>Issuer</w:t>
      </w:r>
      <w:r w:rsidRPr="00E024C4">
        <w:rPr>
          <w:rFonts w:asciiTheme="majorHAnsi" w:hAnsiTheme="majorHAnsi"/>
        </w:rPr>
        <w:t>: CFX CryptoFXForinvest Ltd.</w:t>
      </w:r>
    </w:p>
    <w:p w:rsidR="008A5337" w:rsidRPr="00E024C4" w:rsidRDefault="008A5337" w:rsidP="00460C2C">
      <w:pPr>
        <w:rPr>
          <w:rFonts w:asciiTheme="majorHAnsi" w:hAnsiTheme="majorHAnsi"/>
          <w:b/>
        </w:rPr>
      </w:pPr>
    </w:p>
    <w:p w:rsidR="008A5337" w:rsidRPr="00E024C4" w:rsidRDefault="008A5337" w:rsidP="00460C2C">
      <w:pPr>
        <w:rPr>
          <w:rFonts w:asciiTheme="majorHAnsi" w:hAnsiTheme="majorHAnsi"/>
          <w:b/>
        </w:rPr>
      </w:pPr>
      <w:r w:rsidRPr="00E024C4">
        <w:rPr>
          <w:rFonts w:asciiTheme="majorHAnsi" w:hAnsiTheme="majorHAnsi"/>
          <w:b/>
        </w:rPr>
        <w:t>Declarations by the persons responsible for this whitepaper</w:t>
      </w:r>
    </w:p>
    <w:p w:rsidR="008A5337" w:rsidRPr="00E024C4" w:rsidRDefault="008A5337" w:rsidP="00460C2C">
      <w:pPr>
        <w:rPr>
          <w:rFonts w:asciiTheme="majorHAnsi" w:hAnsiTheme="majorHAnsi"/>
        </w:rPr>
      </w:pPr>
      <w:r w:rsidRPr="00E024C4">
        <w:rPr>
          <w:rFonts w:asciiTheme="majorHAnsi" w:hAnsiTheme="majorHAnsi"/>
        </w:rPr>
        <w:t>To the best of my knowledge, the information contained in this whitepaper is in accordance with the facts, and this whitepaper makes no omission likely to affect its import.</w:t>
      </w:r>
    </w:p>
    <w:p w:rsidR="00405990" w:rsidRPr="00E024C4" w:rsidRDefault="00405990" w:rsidP="00460C2C">
      <w:pPr>
        <w:rPr>
          <w:rFonts w:asciiTheme="majorHAnsi" w:hAnsiTheme="majorHAnsi"/>
        </w:rPr>
      </w:pPr>
    </w:p>
    <w:p w:rsidR="008A5337" w:rsidRPr="00E024C4" w:rsidRDefault="00153D4D" w:rsidP="00460C2C">
      <w:pPr>
        <w:rPr>
          <w:rFonts w:asciiTheme="majorHAnsi" w:hAnsiTheme="majorHAnsi"/>
        </w:rPr>
      </w:pPr>
      <w:r w:rsidRPr="00E024C4">
        <w:rPr>
          <w:rFonts w:asciiTheme="majorHAnsi" w:hAnsiTheme="majorHAnsi"/>
        </w:rPr>
        <w:t>Name: Marco Mottana, CEO</w:t>
      </w:r>
      <w:r w:rsidRPr="00E024C4">
        <w:rPr>
          <w:rFonts w:asciiTheme="majorHAnsi" w:hAnsiTheme="majorHAnsi"/>
        </w:rPr>
        <w:tab/>
      </w:r>
      <w:r w:rsidR="00150C5D" w:rsidRPr="00E024C4">
        <w:rPr>
          <w:rFonts w:asciiTheme="majorHAnsi" w:hAnsiTheme="majorHAnsi"/>
        </w:rPr>
        <w:tab/>
      </w:r>
      <w:r w:rsidR="00981A00">
        <w:rPr>
          <w:rFonts w:asciiTheme="majorHAnsi" w:hAnsiTheme="majorHAnsi"/>
        </w:rPr>
        <w:br/>
      </w:r>
      <w:r w:rsidR="008A5337" w:rsidRPr="00E024C4">
        <w:rPr>
          <w:rFonts w:asciiTheme="majorHAnsi" w:hAnsiTheme="majorHAnsi"/>
        </w:rPr>
        <w:t>Signature:_____</w:t>
      </w:r>
      <w:r w:rsidRPr="00E024C4">
        <w:rPr>
          <w:rFonts w:asciiTheme="majorHAnsi" w:hAnsiTheme="majorHAnsi"/>
        </w:rPr>
        <w:t>_______</w:t>
      </w:r>
      <w:r w:rsidR="00981A00">
        <w:rPr>
          <w:rFonts w:asciiTheme="majorHAnsi" w:hAnsiTheme="majorHAnsi"/>
        </w:rPr>
        <w:t>___________________________________</w:t>
      </w:r>
      <w:r w:rsidRPr="00E024C4">
        <w:rPr>
          <w:rFonts w:asciiTheme="majorHAnsi" w:hAnsiTheme="majorHAnsi"/>
        </w:rPr>
        <w:t>Date________</w:t>
      </w:r>
      <w:r w:rsidR="00981A00">
        <w:rPr>
          <w:rFonts w:asciiTheme="majorHAnsi" w:hAnsiTheme="majorHAnsi"/>
        </w:rPr>
        <w:t>_________</w:t>
      </w:r>
      <w:r w:rsidR="00981A00">
        <w:rPr>
          <w:rFonts w:asciiTheme="majorHAnsi" w:hAnsiTheme="majorHAnsi"/>
        </w:rPr>
        <w:br/>
      </w:r>
    </w:p>
    <w:p w:rsidR="00981A00" w:rsidRDefault="008A5337" w:rsidP="00460C2C">
      <w:pPr>
        <w:rPr>
          <w:rFonts w:asciiTheme="majorHAnsi" w:hAnsiTheme="majorHAnsi"/>
        </w:rPr>
      </w:pPr>
      <w:r w:rsidRPr="00E024C4">
        <w:rPr>
          <w:rFonts w:asciiTheme="majorHAnsi" w:hAnsiTheme="majorHAnsi"/>
        </w:rPr>
        <w:t>Name: Fabrizio Crimi, COO</w:t>
      </w:r>
      <w:r w:rsidR="00153D4D" w:rsidRPr="00E024C4">
        <w:rPr>
          <w:rFonts w:asciiTheme="majorHAnsi" w:hAnsiTheme="majorHAnsi"/>
        </w:rPr>
        <w:tab/>
      </w:r>
      <w:r w:rsidR="00150C5D" w:rsidRPr="00E024C4">
        <w:rPr>
          <w:rFonts w:asciiTheme="majorHAnsi" w:hAnsiTheme="majorHAnsi"/>
        </w:rPr>
        <w:tab/>
      </w:r>
    </w:p>
    <w:p w:rsidR="00981A00" w:rsidRDefault="00981A00" w:rsidP="00460C2C">
      <w:pPr>
        <w:rPr>
          <w:rFonts w:asciiTheme="majorHAnsi" w:hAnsiTheme="majorHAnsi"/>
        </w:rPr>
      </w:pPr>
      <w:r w:rsidRPr="00E024C4">
        <w:rPr>
          <w:rFonts w:asciiTheme="majorHAnsi" w:hAnsiTheme="majorHAnsi"/>
        </w:rPr>
        <w:t>Signature:____________</w:t>
      </w:r>
      <w:r>
        <w:rPr>
          <w:rFonts w:asciiTheme="majorHAnsi" w:hAnsiTheme="majorHAnsi"/>
        </w:rPr>
        <w:t>___________________________________</w:t>
      </w:r>
      <w:r w:rsidRPr="00E024C4">
        <w:rPr>
          <w:rFonts w:asciiTheme="majorHAnsi" w:hAnsiTheme="majorHAnsi"/>
        </w:rPr>
        <w:t>Date________</w:t>
      </w:r>
      <w:r>
        <w:rPr>
          <w:rFonts w:asciiTheme="majorHAnsi" w:hAnsiTheme="majorHAnsi"/>
        </w:rPr>
        <w:t>_________</w:t>
      </w:r>
      <w:r>
        <w:rPr>
          <w:rFonts w:asciiTheme="majorHAnsi" w:hAnsiTheme="majorHAnsi"/>
        </w:rPr>
        <w:br/>
      </w:r>
    </w:p>
    <w:p w:rsidR="00981A00" w:rsidRDefault="00981A00" w:rsidP="00460C2C">
      <w:pPr>
        <w:rPr>
          <w:rFonts w:asciiTheme="majorHAnsi" w:hAnsiTheme="majorHAnsi"/>
        </w:rPr>
      </w:pPr>
      <w:r>
        <w:rPr>
          <w:rFonts w:asciiTheme="majorHAnsi" w:hAnsiTheme="majorHAnsi"/>
        </w:rPr>
        <w:t xml:space="preserve">Name:                            </w:t>
      </w:r>
      <w:r w:rsidR="008A5337" w:rsidRPr="00E024C4">
        <w:rPr>
          <w:rFonts w:asciiTheme="majorHAnsi" w:hAnsiTheme="majorHAnsi"/>
        </w:rPr>
        <w:t>, CFO</w:t>
      </w:r>
      <w:r w:rsidR="008A5337" w:rsidRPr="00E024C4">
        <w:rPr>
          <w:rFonts w:asciiTheme="majorHAnsi" w:hAnsiTheme="majorHAnsi"/>
        </w:rPr>
        <w:tab/>
      </w:r>
      <w:r w:rsidR="00150C5D" w:rsidRPr="00E024C4">
        <w:rPr>
          <w:rFonts w:asciiTheme="majorHAnsi" w:hAnsiTheme="majorHAnsi"/>
        </w:rPr>
        <w:tab/>
      </w:r>
    </w:p>
    <w:p w:rsidR="008A5337" w:rsidRDefault="00981A00" w:rsidP="00460C2C">
      <w:pPr>
        <w:rPr>
          <w:rFonts w:asciiTheme="majorHAnsi" w:hAnsiTheme="majorHAnsi"/>
        </w:rPr>
      </w:pPr>
      <w:r w:rsidRPr="00E024C4">
        <w:rPr>
          <w:rFonts w:asciiTheme="majorHAnsi" w:hAnsiTheme="majorHAnsi"/>
        </w:rPr>
        <w:t>Signature:____________</w:t>
      </w:r>
      <w:r>
        <w:rPr>
          <w:rFonts w:asciiTheme="majorHAnsi" w:hAnsiTheme="majorHAnsi"/>
        </w:rPr>
        <w:t>___________________________________</w:t>
      </w:r>
      <w:r w:rsidRPr="00E024C4">
        <w:rPr>
          <w:rFonts w:asciiTheme="majorHAnsi" w:hAnsiTheme="majorHAnsi"/>
        </w:rPr>
        <w:t>Date________</w:t>
      </w:r>
      <w:r>
        <w:rPr>
          <w:rFonts w:asciiTheme="majorHAnsi" w:hAnsiTheme="majorHAnsi"/>
        </w:rPr>
        <w:t>_________</w:t>
      </w:r>
    </w:p>
    <w:p w:rsidR="00981A00" w:rsidRPr="00E024C4" w:rsidRDefault="00981A00" w:rsidP="00460C2C">
      <w:pPr>
        <w:rPr>
          <w:rFonts w:asciiTheme="majorHAnsi" w:hAnsiTheme="majorHAnsi"/>
        </w:rPr>
      </w:pPr>
    </w:p>
    <w:p w:rsidR="00981A00" w:rsidRDefault="008A5337" w:rsidP="00460C2C">
      <w:pPr>
        <w:rPr>
          <w:rFonts w:asciiTheme="majorHAnsi" w:hAnsiTheme="majorHAnsi"/>
        </w:rPr>
      </w:pPr>
      <w:r w:rsidRPr="00E024C4">
        <w:rPr>
          <w:rFonts w:asciiTheme="majorHAnsi" w:hAnsiTheme="majorHAnsi"/>
        </w:rPr>
        <w:t>Name: Virgilio Degiovanni, Advisor</w:t>
      </w:r>
    </w:p>
    <w:p w:rsidR="00153D4D" w:rsidRDefault="00981A00" w:rsidP="00460C2C">
      <w:pPr>
        <w:rPr>
          <w:rFonts w:asciiTheme="majorHAnsi" w:hAnsiTheme="majorHAnsi"/>
        </w:rPr>
      </w:pPr>
      <w:r w:rsidRPr="00E024C4">
        <w:rPr>
          <w:rFonts w:asciiTheme="majorHAnsi" w:hAnsiTheme="majorHAnsi"/>
        </w:rPr>
        <w:t>Signature:____________</w:t>
      </w:r>
      <w:r>
        <w:rPr>
          <w:rFonts w:asciiTheme="majorHAnsi" w:hAnsiTheme="majorHAnsi"/>
        </w:rPr>
        <w:t>___________________________________</w:t>
      </w:r>
      <w:r w:rsidRPr="00E024C4">
        <w:rPr>
          <w:rFonts w:asciiTheme="majorHAnsi" w:hAnsiTheme="majorHAnsi"/>
        </w:rPr>
        <w:t>Date________</w:t>
      </w:r>
      <w:r>
        <w:rPr>
          <w:rFonts w:asciiTheme="majorHAnsi" w:hAnsiTheme="majorHAnsi"/>
        </w:rPr>
        <w:t>_________</w:t>
      </w:r>
    </w:p>
    <w:p w:rsidR="00981A00" w:rsidRPr="00E024C4" w:rsidRDefault="00981A00" w:rsidP="00460C2C">
      <w:pPr>
        <w:rPr>
          <w:rFonts w:asciiTheme="majorHAnsi" w:hAnsiTheme="majorHAnsi"/>
        </w:rPr>
      </w:pPr>
    </w:p>
    <w:p w:rsidR="00981A00" w:rsidRDefault="008A5337" w:rsidP="00460C2C">
      <w:pPr>
        <w:rPr>
          <w:rFonts w:asciiTheme="majorHAnsi" w:hAnsiTheme="majorHAnsi"/>
        </w:rPr>
      </w:pPr>
      <w:r w:rsidRPr="00E024C4">
        <w:rPr>
          <w:rFonts w:asciiTheme="majorHAnsi" w:hAnsiTheme="majorHAnsi"/>
        </w:rPr>
        <w:t>Name:</w:t>
      </w:r>
      <w:r w:rsidR="00981A00">
        <w:rPr>
          <w:rFonts w:asciiTheme="majorHAnsi" w:hAnsiTheme="majorHAnsi"/>
        </w:rPr>
        <w:t xml:space="preserve">                                </w:t>
      </w:r>
      <w:r w:rsidRPr="00E024C4">
        <w:rPr>
          <w:rFonts w:asciiTheme="majorHAnsi" w:hAnsiTheme="majorHAnsi"/>
        </w:rPr>
        <w:t xml:space="preserve">, </w:t>
      </w:r>
      <w:r w:rsidRPr="00E024C4">
        <w:rPr>
          <w:rFonts w:asciiTheme="majorHAnsi" w:hAnsiTheme="majorHAnsi"/>
        </w:rPr>
        <w:tab/>
      </w:r>
      <w:r w:rsidR="00153D4D" w:rsidRPr="00E024C4">
        <w:rPr>
          <w:rFonts w:asciiTheme="majorHAnsi" w:hAnsiTheme="majorHAnsi"/>
        </w:rPr>
        <w:tab/>
      </w:r>
    </w:p>
    <w:p w:rsidR="00981A00" w:rsidRDefault="00981A00" w:rsidP="00460C2C">
      <w:pPr>
        <w:rPr>
          <w:rFonts w:asciiTheme="majorHAnsi" w:hAnsiTheme="majorHAnsi"/>
        </w:rPr>
      </w:pPr>
      <w:r w:rsidRPr="00E024C4">
        <w:rPr>
          <w:rFonts w:asciiTheme="majorHAnsi" w:hAnsiTheme="majorHAnsi"/>
        </w:rPr>
        <w:t>Signature:____________</w:t>
      </w:r>
      <w:r>
        <w:rPr>
          <w:rFonts w:asciiTheme="majorHAnsi" w:hAnsiTheme="majorHAnsi"/>
        </w:rPr>
        <w:t>___________________________________</w:t>
      </w:r>
      <w:r w:rsidRPr="00E024C4">
        <w:rPr>
          <w:rFonts w:asciiTheme="majorHAnsi" w:hAnsiTheme="majorHAnsi"/>
        </w:rPr>
        <w:t>Date________</w:t>
      </w:r>
      <w:r>
        <w:rPr>
          <w:rFonts w:asciiTheme="majorHAnsi" w:hAnsiTheme="majorHAnsi"/>
        </w:rPr>
        <w:t>_________</w:t>
      </w:r>
    </w:p>
    <w:p w:rsidR="00981A00" w:rsidRPr="00E024C4" w:rsidRDefault="00981A00" w:rsidP="00460C2C">
      <w:pPr>
        <w:rPr>
          <w:rFonts w:asciiTheme="majorHAnsi" w:hAnsiTheme="majorHAnsi"/>
        </w:rPr>
      </w:pPr>
    </w:p>
    <w:p w:rsidR="00981A00" w:rsidRDefault="00981A00" w:rsidP="00460C2C">
      <w:pPr>
        <w:rPr>
          <w:rFonts w:asciiTheme="majorHAnsi" w:hAnsiTheme="majorHAnsi"/>
        </w:rPr>
      </w:pPr>
      <w:r w:rsidRPr="00E024C4">
        <w:rPr>
          <w:rFonts w:asciiTheme="majorHAnsi" w:hAnsiTheme="majorHAnsi"/>
        </w:rPr>
        <w:t>Name:</w:t>
      </w:r>
      <w:r>
        <w:rPr>
          <w:rFonts w:asciiTheme="majorHAnsi" w:hAnsiTheme="majorHAnsi"/>
        </w:rPr>
        <w:t xml:space="preserve">                                </w:t>
      </w:r>
      <w:r w:rsidRPr="00E024C4">
        <w:rPr>
          <w:rFonts w:asciiTheme="majorHAnsi" w:hAnsiTheme="majorHAnsi"/>
        </w:rPr>
        <w:t xml:space="preserve">, </w:t>
      </w:r>
      <w:r w:rsidRPr="00E024C4">
        <w:rPr>
          <w:rFonts w:asciiTheme="majorHAnsi" w:hAnsiTheme="majorHAnsi"/>
        </w:rPr>
        <w:tab/>
      </w:r>
      <w:r w:rsidRPr="00E024C4">
        <w:rPr>
          <w:rFonts w:asciiTheme="majorHAnsi" w:hAnsiTheme="majorHAnsi"/>
        </w:rPr>
        <w:tab/>
      </w:r>
    </w:p>
    <w:p w:rsidR="00E024C4" w:rsidRDefault="00981A00" w:rsidP="00460C2C">
      <w:bookmarkStart w:id="6" w:name="_Toc256000058"/>
      <w:bookmarkStart w:id="7" w:name="_Toc256000039"/>
      <w:bookmarkStart w:id="8" w:name="_Toc256000020"/>
      <w:bookmarkStart w:id="9" w:name="_Toc256000001"/>
      <w:r w:rsidRPr="00E024C4">
        <w:rPr>
          <w:rFonts w:asciiTheme="majorHAnsi" w:hAnsiTheme="majorHAnsi"/>
        </w:rPr>
        <w:t>Signature:____________</w:t>
      </w:r>
      <w:r>
        <w:rPr>
          <w:rFonts w:asciiTheme="majorHAnsi" w:hAnsiTheme="majorHAnsi"/>
        </w:rPr>
        <w:t>___________________________________</w:t>
      </w:r>
      <w:r w:rsidRPr="00E024C4">
        <w:rPr>
          <w:rFonts w:asciiTheme="majorHAnsi" w:hAnsiTheme="majorHAnsi"/>
        </w:rPr>
        <w:t>Date________</w:t>
      </w:r>
      <w:r>
        <w:rPr>
          <w:rFonts w:asciiTheme="majorHAnsi" w:hAnsiTheme="majorHAnsi"/>
        </w:rPr>
        <w:t>_________</w:t>
      </w:r>
    </w:p>
    <w:p w:rsidR="00294BAE" w:rsidRPr="00405990" w:rsidRDefault="001B78B5" w:rsidP="00460C2C">
      <w:pPr>
        <w:pStyle w:val="Titolo2"/>
        <w:rPr>
          <w:rFonts w:ascii="Franklin Gothic Demi" w:eastAsia="Times New Roman" w:hAnsi="Franklin Gothic Demi" w:cs="Times New Roman"/>
          <w:b w:val="0"/>
          <w:bCs w:val="0"/>
          <w:iCs w:val="0"/>
          <w:color w:val="018BB3"/>
          <w:spacing w:val="26"/>
          <w:szCs w:val="36"/>
        </w:rPr>
      </w:pPr>
      <w:bookmarkStart w:id="10" w:name="_Toc523439981"/>
      <w:r w:rsidRPr="00405990">
        <w:rPr>
          <w:rFonts w:ascii="Franklin Gothic Demi" w:eastAsia="Times New Roman" w:hAnsi="Franklin Gothic Demi" w:cs="Times New Roman"/>
          <w:b w:val="0"/>
          <w:bCs w:val="0"/>
          <w:iCs w:val="0"/>
          <w:color w:val="018BB3"/>
          <w:spacing w:val="26"/>
          <w:szCs w:val="36"/>
        </w:rPr>
        <w:lastRenderedPageBreak/>
        <w:t>Opportunit</w:t>
      </w:r>
      <w:bookmarkEnd w:id="6"/>
      <w:bookmarkEnd w:id="7"/>
      <w:bookmarkEnd w:id="8"/>
      <w:bookmarkEnd w:id="9"/>
      <w:r w:rsidR="00294BAE" w:rsidRPr="00405990">
        <w:rPr>
          <w:rFonts w:ascii="Franklin Gothic Demi" w:eastAsia="Times New Roman" w:hAnsi="Franklin Gothic Demi" w:cs="Times New Roman"/>
          <w:b w:val="0"/>
          <w:bCs w:val="0"/>
          <w:iCs w:val="0"/>
          <w:color w:val="018BB3"/>
          <w:spacing w:val="26"/>
          <w:szCs w:val="36"/>
        </w:rPr>
        <w:t>y</w:t>
      </w:r>
      <w:bookmarkEnd w:id="10"/>
    </w:p>
    <w:p w:rsidR="004B110F" w:rsidRPr="00405990" w:rsidRDefault="00405990" w:rsidP="00460C2C">
      <w:pPr>
        <w:pStyle w:val="Titolo3"/>
        <w:rPr>
          <w:rFonts w:asciiTheme="majorHAnsi" w:hAnsiTheme="majorHAnsi"/>
          <w:szCs w:val="28"/>
        </w:rPr>
      </w:pPr>
      <w:r w:rsidRPr="00405990">
        <w:rPr>
          <w:rFonts w:asciiTheme="majorHAnsi" w:hAnsiTheme="majorHAnsi"/>
          <w:szCs w:val="28"/>
        </w:rPr>
        <w:t>PROBLEM</w:t>
      </w:r>
    </w:p>
    <w:p w:rsidR="0016590F" w:rsidRPr="00E024C4" w:rsidRDefault="00581BE8" w:rsidP="00460C2C">
      <w:pPr>
        <w:pStyle w:val="Corpotesto"/>
        <w:spacing w:before="100" w:after="100"/>
        <w:rPr>
          <w:rFonts w:asciiTheme="majorHAnsi" w:hAnsiTheme="majorHAnsi" w:cs="Times New Roman"/>
          <w:iCs/>
        </w:rPr>
      </w:pPr>
      <w:r w:rsidRPr="00E024C4">
        <w:rPr>
          <w:rFonts w:asciiTheme="majorHAnsi" w:hAnsiTheme="majorHAnsi" w:cs="Times New Roman"/>
          <w:iCs/>
        </w:rPr>
        <w:t xml:space="preserve">Investors </w:t>
      </w:r>
      <w:r w:rsidR="00332AAF" w:rsidRPr="00E024C4">
        <w:rPr>
          <w:rFonts w:asciiTheme="majorHAnsi" w:hAnsiTheme="majorHAnsi" w:cs="Times New Roman"/>
          <w:iCs/>
        </w:rPr>
        <w:t xml:space="preserve">and money managers </w:t>
      </w:r>
      <w:r w:rsidRPr="00E024C4">
        <w:rPr>
          <w:rFonts w:asciiTheme="majorHAnsi" w:hAnsiTheme="majorHAnsi" w:cs="Times New Roman"/>
          <w:iCs/>
        </w:rPr>
        <w:t xml:space="preserve">want </w:t>
      </w:r>
      <w:r w:rsidR="001B78B5" w:rsidRPr="00E024C4">
        <w:rPr>
          <w:rFonts w:asciiTheme="majorHAnsi" w:hAnsiTheme="majorHAnsi" w:cs="Times New Roman"/>
          <w:iCs/>
        </w:rPr>
        <w:t>a</w:t>
      </w:r>
      <w:r w:rsidRPr="00E024C4">
        <w:rPr>
          <w:rFonts w:asciiTheme="majorHAnsi" w:hAnsiTheme="majorHAnsi" w:cs="Times New Roman"/>
          <w:iCs/>
        </w:rPr>
        <w:t xml:space="preserve">n increased return on investment with a minimal amount of added </w:t>
      </w:r>
      <w:r w:rsidR="001B78B5" w:rsidRPr="00E024C4">
        <w:rPr>
          <w:rFonts w:asciiTheme="majorHAnsi" w:hAnsiTheme="majorHAnsi" w:cs="Times New Roman"/>
          <w:iCs/>
        </w:rPr>
        <w:t>risk</w:t>
      </w:r>
      <w:r w:rsidRPr="00E024C4">
        <w:rPr>
          <w:rFonts w:asciiTheme="majorHAnsi" w:hAnsiTheme="majorHAnsi" w:cs="Times New Roman"/>
          <w:iCs/>
        </w:rPr>
        <w:t>, at the same time that the investment opportunity landscape</w:t>
      </w:r>
      <w:r w:rsidR="001B78B5" w:rsidRPr="00E024C4">
        <w:rPr>
          <w:rFonts w:asciiTheme="majorHAnsi" w:hAnsiTheme="majorHAnsi" w:cs="Times New Roman"/>
          <w:iCs/>
        </w:rPr>
        <w:t xml:space="preserve"> is </w:t>
      </w:r>
      <w:r w:rsidRPr="00E024C4">
        <w:rPr>
          <w:rFonts w:asciiTheme="majorHAnsi" w:hAnsiTheme="majorHAnsi" w:cs="Times New Roman"/>
          <w:iCs/>
        </w:rPr>
        <w:t>fast-</w:t>
      </w:r>
      <w:r w:rsidR="001B78B5" w:rsidRPr="00E024C4">
        <w:rPr>
          <w:rFonts w:asciiTheme="majorHAnsi" w:hAnsiTheme="majorHAnsi" w:cs="Times New Roman"/>
          <w:iCs/>
        </w:rPr>
        <w:t xml:space="preserve">changing and </w:t>
      </w:r>
      <w:r w:rsidRPr="00E024C4">
        <w:rPr>
          <w:rFonts w:asciiTheme="majorHAnsi" w:hAnsiTheme="majorHAnsi" w:cs="Times New Roman"/>
          <w:iCs/>
        </w:rPr>
        <w:t>b</w:t>
      </w:r>
      <w:r w:rsidR="001B78B5" w:rsidRPr="00E024C4">
        <w:rPr>
          <w:rFonts w:asciiTheme="majorHAnsi" w:hAnsiTheme="majorHAnsi" w:cs="Times New Roman"/>
          <w:iCs/>
        </w:rPr>
        <w:t>ecoming more complex every day.</w:t>
      </w:r>
    </w:p>
    <w:p w:rsidR="00294BAE" w:rsidRPr="00E024C4" w:rsidRDefault="00294BAE" w:rsidP="00460C2C">
      <w:pPr>
        <w:pStyle w:val="Corpotesto"/>
        <w:spacing w:after="280"/>
        <w:rPr>
          <w:rFonts w:asciiTheme="majorHAnsi" w:hAnsiTheme="majorHAnsi" w:cs="Times New Roman"/>
          <w:iCs/>
        </w:rPr>
      </w:pPr>
      <w:r w:rsidRPr="00E024C4">
        <w:rPr>
          <w:rFonts w:asciiTheme="majorHAnsi" w:hAnsiTheme="majorHAnsi" w:cs="Times New Roman"/>
        </w:rPr>
        <w:t>Recent developments in Blockchain technology, alongside with Artificial Intelligence and Broadband Internet have created the possibility to create n</w:t>
      </w:r>
      <w:r w:rsidRPr="00E024C4">
        <w:rPr>
          <w:rFonts w:asciiTheme="majorHAnsi" w:hAnsiTheme="majorHAnsi" w:cs="Times New Roman"/>
          <w:iCs/>
        </w:rPr>
        <w:t>ew systems of trading capable of achieving the best equilibrium between the risk and reward.</w:t>
      </w:r>
    </w:p>
    <w:p w:rsidR="004B110F" w:rsidRPr="00405990" w:rsidRDefault="00405990" w:rsidP="00460C2C">
      <w:pPr>
        <w:pStyle w:val="Titolo3"/>
        <w:rPr>
          <w:rFonts w:asciiTheme="majorHAnsi" w:hAnsiTheme="majorHAnsi"/>
          <w:szCs w:val="28"/>
        </w:rPr>
      </w:pPr>
      <w:r w:rsidRPr="00405990">
        <w:rPr>
          <w:rFonts w:asciiTheme="majorHAnsi" w:hAnsiTheme="majorHAnsi"/>
          <w:szCs w:val="28"/>
        </w:rPr>
        <w:t>SOLUTION</w:t>
      </w:r>
    </w:p>
    <w:p w:rsidR="004B110F" w:rsidRPr="00E024C4" w:rsidRDefault="001B78B5" w:rsidP="00460C2C">
      <w:pPr>
        <w:pStyle w:val="Corpotesto"/>
        <w:spacing w:after="280"/>
        <w:rPr>
          <w:rFonts w:asciiTheme="majorHAnsi" w:hAnsiTheme="majorHAnsi" w:cs="Times New Roman"/>
        </w:rPr>
      </w:pPr>
      <w:r w:rsidRPr="00E024C4">
        <w:rPr>
          <w:rFonts w:asciiTheme="majorHAnsi" w:hAnsiTheme="majorHAnsi" w:cs="Times New Roman"/>
        </w:rPr>
        <w:t>The solution is to have a personal fund managed in the most professional and advanced way</w:t>
      </w:r>
      <w:r w:rsidR="00B80A59" w:rsidRPr="00E024C4">
        <w:rPr>
          <w:rFonts w:asciiTheme="majorHAnsi" w:hAnsiTheme="majorHAnsi" w:cs="Times New Roman"/>
        </w:rPr>
        <w:t xml:space="preserve"> possible</w:t>
      </w:r>
      <w:r w:rsidR="00332AAF" w:rsidRPr="00E024C4">
        <w:rPr>
          <w:rFonts w:asciiTheme="majorHAnsi" w:hAnsiTheme="majorHAnsi" w:cs="Times New Roman"/>
          <w:iCs/>
        </w:rPr>
        <w:t>.</w:t>
      </w:r>
    </w:p>
    <w:p w:rsidR="00294BAE" w:rsidRPr="00E024C4" w:rsidRDefault="001B78B5" w:rsidP="00460C2C">
      <w:pPr>
        <w:pStyle w:val="Corpotesto"/>
        <w:spacing w:after="280"/>
        <w:rPr>
          <w:rFonts w:asciiTheme="majorHAnsi" w:hAnsiTheme="majorHAnsi" w:cs="Times New Roman"/>
        </w:rPr>
      </w:pPr>
      <w:r w:rsidRPr="00E024C4">
        <w:rPr>
          <w:rFonts w:asciiTheme="majorHAnsi" w:hAnsiTheme="majorHAnsi" w:cs="Times New Roman"/>
        </w:rPr>
        <w:t>CFXhas dev</w:t>
      </w:r>
      <w:r w:rsidR="00B80A59" w:rsidRPr="00E024C4">
        <w:rPr>
          <w:rFonts w:asciiTheme="majorHAnsi" w:hAnsiTheme="majorHAnsi" w:cs="Times New Roman"/>
        </w:rPr>
        <w:t>eloped an</w:t>
      </w:r>
      <w:r w:rsidRPr="00E024C4">
        <w:rPr>
          <w:rFonts w:asciiTheme="majorHAnsi" w:hAnsiTheme="majorHAnsi" w:cs="Times New Roman"/>
        </w:rPr>
        <w:t xml:space="preserve"> advanced Trading System Software called </w:t>
      </w:r>
      <w:r w:rsidRPr="00E024C4">
        <w:rPr>
          <w:rFonts w:asciiTheme="majorHAnsi" w:hAnsiTheme="majorHAnsi" w:cs="Times New Roman"/>
          <w:b/>
          <w:bCs/>
        </w:rPr>
        <w:t>HATS (</w:t>
      </w:r>
      <w:r w:rsidRPr="001F382A">
        <w:rPr>
          <w:rFonts w:asciiTheme="majorHAnsi" w:hAnsiTheme="majorHAnsi" w:cs="Times New Roman"/>
          <w:b/>
          <w:bCs/>
          <w:noProof/>
        </w:rPr>
        <w:t>Highly</w:t>
      </w:r>
      <w:r w:rsidR="001F382A" w:rsidRPr="001F382A">
        <w:rPr>
          <w:rFonts w:asciiTheme="majorHAnsi" w:hAnsiTheme="majorHAnsi" w:cs="Times New Roman"/>
          <w:b/>
          <w:bCs/>
          <w:noProof/>
        </w:rPr>
        <w:t xml:space="preserve"> </w:t>
      </w:r>
      <w:r w:rsidRPr="001F382A">
        <w:rPr>
          <w:rFonts w:asciiTheme="majorHAnsi" w:hAnsiTheme="majorHAnsi" w:cs="Times New Roman"/>
          <w:b/>
          <w:bCs/>
          <w:noProof/>
        </w:rPr>
        <w:t>Advanced</w:t>
      </w:r>
      <w:r w:rsidRPr="00E024C4">
        <w:rPr>
          <w:rFonts w:asciiTheme="majorHAnsi" w:hAnsiTheme="majorHAnsi" w:cs="Times New Roman"/>
          <w:b/>
          <w:bCs/>
        </w:rPr>
        <w:t xml:space="preserve"> Trading System)</w:t>
      </w:r>
      <w:r w:rsidR="00981A00">
        <w:rPr>
          <w:rFonts w:asciiTheme="majorHAnsi" w:hAnsiTheme="majorHAnsi" w:cs="Times New Roman"/>
          <w:b/>
          <w:bCs/>
        </w:rPr>
        <w:t xml:space="preserve"> </w:t>
      </w:r>
      <w:r w:rsidRPr="00E024C4">
        <w:rPr>
          <w:rFonts w:asciiTheme="majorHAnsi" w:hAnsiTheme="majorHAnsi" w:cs="Times New Roman"/>
        </w:rPr>
        <w:t>based on Technical Analysis, Statistics, Artificial Intelligence,</w:t>
      </w:r>
      <w:r w:rsidR="000E33DC" w:rsidRPr="00E024C4">
        <w:rPr>
          <w:rFonts w:asciiTheme="majorHAnsi" w:hAnsiTheme="majorHAnsi" w:cs="Times New Roman"/>
        </w:rPr>
        <w:t xml:space="preserve"> and Quantitative A</w:t>
      </w:r>
      <w:r w:rsidRPr="00E024C4">
        <w:rPr>
          <w:rFonts w:asciiTheme="majorHAnsi" w:hAnsiTheme="majorHAnsi" w:cs="Times New Roman"/>
        </w:rPr>
        <w:t>nalysis</w:t>
      </w:r>
      <w:r w:rsidR="000E33DC" w:rsidRPr="00E024C4">
        <w:rPr>
          <w:rFonts w:asciiTheme="majorHAnsi" w:hAnsiTheme="majorHAnsi" w:cs="Times New Roman"/>
        </w:rPr>
        <w:t xml:space="preserve">. CFX </w:t>
      </w:r>
      <w:r w:rsidR="000E33DC" w:rsidRPr="001F382A">
        <w:rPr>
          <w:rFonts w:asciiTheme="majorHAnsi" w:hAnsiTheme="majorHAnsi" w:cs="Times New Roman"/>
          <w:noProof/>
        </w:rPr>
        <w:t>is</w:t>
      </w:r>
      <w:r w:rsidR="001F382A">
        <w:rPr>
          <w:rFonts w:asciiTheme="majorHAnsi" w:hAnsiTheme="majorHAnsi" w:cs="Times New Roman"/>
          <w:noProof/>
        </w:rPr>
        <w:t xml:space="preserve"> </w:t>
      </w:r>
      <w:r w:rsidR="000E33DC" w:rsidRPr="001F382A">
        <w:rPr>
          <w:rFonts w:asciiTheme="majorHAnsi" w:hAnsiTheme="majorHAnsi" w:cs="Times New Roman"/>
          <w:iCs/>
          <w:noProof/>
        </w:rPr>
        <w:t>creating</w:t>
      </w:r>
      <w:r w:rsidRPr="00E024C4">
        <w:rPr>
          <w:rFonts w:asciiTheme="majorHAnsi" w:hAnsiTheme="majorHAnsi" w:cs="Times New Roman"/>
          <w:iCs/>
        </w:rPr>
        <w:t xml:space="preserve"> a </w:t>
      </w:r>
      <w:r w:rsidRPr="001F382A">
        <w:rPr>
          <w:rFonts w:asciiTheme="majorHAnsi" w:hAnsiTheme="majorHAnsi" w:cs="Times New Roman"/>
          <w:iCs/>
          <w:noProof/>
        </w:rPr>
        <w:t>breakthrough</w:t>
      </w:r>
      <w:r w:rsidR="001F382A" w:rsidRPr="001F382A">
        <w:rPr>
          <w:rFonts w:asciiTheme="majorHAnsi" w:hAnsiTheme="majorHAnsi" w:cs="Times New Roman"/>
          <w:iCs/>
          <w:noProof/>
        </w:rPr>
        <w:t xml:space="preserve"> </w:t>
      </w:r>
      <w:r w:rsidR="0002553C" w:rsidRPr="001F382A">
        <w:rPr>
          <w:rFonts w:asciiTheme="majorHAnsi" w:hAnsiTheme="majorHAnsi" w:cs="Times New Roman"/>
          <w:iCs/>
          <w:noProof/>
        </w:rPr>
        <w:t>blockchain</w:t>
      </w:r>
      <w:r w:rsidR="0002553C" w:rsidRPr="00E024C4">
        <w:rPr>
          <w:rFonts w:asciiTheme="majorHAnsi" w:hAnsiTheme="majorHAnsi" w:cs="Times New Roman"/>
          <w:iCs/>
        </w:rPr>
        <w:t xml:space="preserve">-based </w:t>
      </w:r>
      <w:r w:rsidRPr="001F382A">
        <w:rPr>
          <w:rFonts w:asciiTheme="majorHAnsi" w:hAnsiTheme="majorHAnsi" w:cs="Times New Roman"/>
          <w:iCs/>
          <w:noProof/>
        </w:rPr>
        <w:t>indicator</w:t>
      </w:r>
      <w:r w:rsidR="001F382A" w:rsidRPr="001F382A">
        <w:rPr>
          <w:rFonts w:asciiTheme="majorHAnsi" w:hAnsiTheme="majorHAnsi" w:cs="Times New Roman"/>
          <w:iCs/>
          <w:noProof/>
        </w:rPr>
        <w:t xml:space="preserve"> </w:t>
      </w:r>
      <w:r w:rsidR="000632E2" w:rsidRPr="001F382A">
        <w:rPr>
          <w:rFonts w:asciiTheme="majorHAnsi" w:hAnsiTheme="majorHAnsi" w:cs="Times New Roman"/>
          <w:bCs/>
          <w:iCs/>
          <w:noProof/>
        </w:rPr>
        <w:t>named</w:t>
      </w:r>
      <w:r w:rsidR="000632E2" w:rsidRPr="00E024C4">
        <w:rPr>
          <w:rFonts w:asciiTheme="majorHAnsi" w:hAnsiTheme="majorHAnsi" w:cs="Times New Roman"/>
          <w:bCs/>
          <w:iCs/>
        </w:rPr>
        <w:t xml:space="preserve"> the</w:t>
      </w:r>
      <w:r w:rsidR="000632E2" w:rsidRPr="00E024C4">
        <w:rPr>
          <w:rFonts w:asciiTheme="majorHAnsi" w:hAnsiTheme="majorHAnsi" w:cs="Times New Roman"/>
          <w:b/>
          <w:bCs/>
          <w:iCs/>
        </w:rPr>
        <w:t xml:space="preserve"> CFX Sentiment </w:t>
      </w:r>
      <w:r w:rsidR="000632E2" w:rsidRPr="001F382A">
        <w:rPr>
          <w:rFonts w:asciiTheme="majorHAnsi" w:hAnsiTheme="majorHAnsi" w:cs="Times New Roman"/>
          <w:b/>
          <w:bCs/>
          <w:iCs/>
          <w:noProof/>
        </w:rPr>
        <w:t>Index</w:t>
      </w:r>
      <w:r w:rsidR="001F382A">
        <w:rPr>
          <w:rFonts w:asciiTheme="majorHAnsi" w:hAnsiTheme="majorHAnsi" w:cs="Times New Roman"/>
          <w:b/>
          <w:bCs/>
          <w:iCs/>
          <w:noProof/>
        </w:rPr>
        <w:t xml:space="preserve"> </w:t>
      </w:r>
      <w:r w:rsidR="000E33DC" w:rsidRPr="001F382A">
        <w:rPr>
          <w:rFonts w:asciiTheme="majorHAnsi" w:hAnsiTheme="majorHAnsi" w:cs="Times New Roman"/>
          <w:bCs/>
          <w:iCs/>
          <w:noProof/>
        </w:rPr>
        <w:t>that</w:t>
      </w:r>
      <w:r w:rsidR="000E33DC" w:rsidRPr="00E024C4">
        <w:rPr>
          <w:rFonts w:asciiTheme="majorHAnsi" w:hAnsiTheme="majorHAnsi" w:cs="Times New Roman"/>
          <w:bCs/>
          <w:iCs/>
        </w:rPr>
        <w:t xml:space="preserve"> </w:t>
      </w:r>
      <w:r w:rsidR="000E33DC" w:rsidRPr="00E024C4">
        <w:rPr>
          <w:rFonts w:asciiTheme="majorHAnsi" w:hAnsiTheme="majorHAnsi" w:cs="Times New Roman"/>
          <w:iCs/>
        </w:rPr>
        <w:t>will add a unique, transparent, and reliable market indicator to HATS</w:t>
      </w:r>
      <w:r w:rsidR="000E33DC" w:rsidRPr="001F382A">
        <w:rPr>
          <w:rFonts w:asciiTheme="majorHAnsi" w:hAnsiTheme="majorHAnsi" w:cs="Times New Roman"/>
          <w:iCs/>
          <w:noProof/>
        </w:rPr>
        <w:t>.</w:t>
      </w:r>
      <w:r w:rsidR="00F730AD">
        <w:rPr>
          <w:rFonts w:asciiTheme="majorHAnsi" w:hAnsiTheme="majorHAnsi" w:cs="Times New Roman"/>
          <w:iCs/>
          <w:noProof/>
        </w:rPr>
        <w:t xml:space="preserve"> </w:t>
      </w:r>
      <w:r w:rsidR="000632E2" w:rsidRPr="001F382A">
        <w:rPr>
          <w:rFonts w:asciiTheme="majorHAnsi" w:hAnsiTheme="majorHAnsi" w:cs="Times New Roman"/>
          <w:iCs/>
          <w:noProof/>
        </w:rPr>
        <w:t>Our</w:t>
      </w:r>
      <w:r w:rsidR="000632E2" w:rsidRPr="00E024C4">
        <w:rPr>
          <w:rFonts w:asciiTheme="majorHAnsi" w:hAnsiTheme="majorHAnsi" w:cs="Times New Roman"/>
          <w:iCs/>
        </w:rPr>
        <w:t xml:space="preserve"> index will establish an </w:t>
      </w:r>
      <w:r w:rsidR="000632E2" w:rsidRPr="00E024C4">
        <w:rPr>
          <w:rFonts w:asciiTheme="majorHAnsi" w:hAnsiTheme="majorHAnsi" w:cs="Times New Roman"/>
        </w:rPr>
        <w:t xml:space="preserve">understanding of people’s attitude towards financial market trends </w:t>
      </w:r>
      <w:r w:rsidR="000632E2" w:rsidRPr="00E024C4">
        <w:rPr>
          <w:rFonts w:asciiTheme="majorHAnsi" w:hAnsiTheme="majorHAnsi" w:cs="Times New Roman"/>
          <w:noProof/>
        </w:rPr>
        <w:t>at</w:t>
      </w:r>
      <w:r w:rsidR="000632E2" w:rsidRPr="00E024C4">
        <w:rPr>
          <w:rFonts w:asciiTheme="majorHAnsi" w:hAnsiTheme="majorHAnsi" w:cs="Times New Roman"/>
        </w:rPr>
        <w:t xml:space="preserve"> any given moment, worldwide.</w:t>
      </w:r>
    </w:p>
    <w:p w:rsidR="00294BAE" w:rsidRPr="00E024C4" w:rsidRDefault="00294BAE" w:rsidP="00460C2C">
      <w:pPr>
        <w:pStyle w:val="Corpotesto"/>
        <w:spacing w:after="280"/>
        <w:rPr>
          <w:rFonts w:asciiTheme="majorHAnsi" w:hAnsiTheme="majorHAnsi" w:cs="Times New Roman"/>
        </w:rPr>
      </w:pPr>
      <w:r w:rsidRPr="002E7E90">
        <w:rPr>
          <w:rFonts w:asciiTheme="majorHAnsi" w:hAnsiTheme="majorHAnsi" w:cs="Times New Roman"/>
        </w:rPr>
        <w:t xml:space="preserve">CFX </w:t>
      </w:r>
      <w:r w:rsidR="00332AAF" w:rsidRPr="002E7E90">
        <w:rPr>
          <w:rFonts w:asciiTheme="majorHAnsi" w:hAnsiTheme="majorHAnsi" w:cs="Times New Roman"/>
          <w:bCs/>
        </w:rPr>
        <w:t>HATS</w:t>
      </w:r>
      <w:r w:rsidR="002E7E90" w:rsidRPr="002E7E90">
        <w:rPr>
          <w:rFonts w:asciiTheme="majorHAnsi" w:hAnsiTheme="majorHAnsi" w:cs="Times New Roman"/>
          <w:bCs/>
        </w:rPr>
        <w:t xml:space="preserve"> </w:t>
      </w:r>
      <w:r w:rsidRPr="002E7E90">
        <w:rPr>
          <w:rFonts w:asciiTheme="majorHAnsi" w:hAnsiTheme="majorHAnsi" w:cs="Times New Roman"/>
          <w:bCs/>
        </w:rPr>
        <w:t>is</w:t>
      </w:r>
      <w:r w:rsidRPr="00E024C4">
        <w:rPr>
          <w:rFonts w:asciiTheme="majorHAnsi" w:hAnsiTheme="majorHAnsi" w:cs="Times New Roman"/>
          <w:bCs/>
        </w:rPr>
        <w:t xml:space="preserve"> </w:t>
      </w:r>
      <w:r w:rsidRPr="00E024C4">
        <w:rPr>
          <w:rFonts w:asciiTheme="majorHAnsi" w:hAnsiTheme="majorHAnsi" w:cs="Times New Roman"/>
        </w:rPr>
        <w:t>not a single trading system</w:t>
      </w:r>
      <w:r w:rsidR="00332AAF" w:rsidRPr="00E024C4">
        <w:rPr>
          <w:rFonts w:asciiTheme="majorHAnsi" w:hAnsiTheme="majorHAnsi" w:cs="Times New Roman"/>
        </w:rPr>
        <w:t>;</w:t>
      </w:r>
      <w:r w:rsidRPr="00E024C4">
        <w:rPr>
          <w:rFonts w:asciiTheme="majorHAnsi" w:hAnsiTheme="majorHAnsi" w:cs="Times New Roman"/>
        </w:rPr>
        <w:t xml:space="preserve"> rather, it is the sum of four different trading systems, each one with its own characteristics and specific risk/reward </w:t>
      </w:r>
      <w:r w:rsidR="00332AAF" w:rsidRPr="00E024C4">
        <w:rPr>
          <w:rFonts w:asciiTheme="majorHAnsi" w:hAnsiTheme="majorHAnsi" w:cs="Times New Roman"/>
        </w:rPr>
        <w:t>strengths</w:t>
      </w:r>
      <w:r w:rsidRPr="00E024C4">
        <w:rPr>
          <w:rFonts w:asciiTheme="majorHAnsi" w:hAnsiTheme="majorHAnsi" w:cs="Times New Roman"/>
        </w:rPr>
        <w:t xml:space="preserve">. Added to this, CFX will insert an indicator created on the blockchain by its token </w:t>
      </w:r>
    </w:p>
    <w:p w:rsidR="00294BAE" w:rsidRPr="00E024C4" w:rsidRDefault="00294BAE" w:rsidP="00460C2C">
      <w:pPr>
        <w:pStyle w:val="Corpotesto"/>
        <w:rPr>
          <w:rFonts w:asciiTheme="majorHAnsi" w:hAnsiTheme="majorHAnsi" w:cs="Times New Roman"/>
        </w:rPr>
      </w:pPr>
      <w:r w:rsidRPr="00E024C4">
        <w:rPr>
          <w:rFonts w:asciiTheme="majorHAnsi" w:hAnsiTheme="majorHAnsi" w:cs="Times New Roman"/>
          <w:b/>
          <w:bCs/>
        </w:rPr>
        <w:t>CFX Sentiment Index is</w:t>
      </w:r>
      <w:r w:rsidRPr="00E024C4">
        <w:rPr>
          <w:rFonts w:asciiTheme="majorHAnsi" w:hAnsiTheme="majorHAnsi" w:cs="Times New Roman"/>
          <w:noProof/>
        </w:rPr>
        <w:t xml:space="preserve"> an</w:t>
      </w:r>
      <w:r w:rsidRPr="00E024C4">
        <w:rPr>
          <w:rFonts w:asciiTheme="majorHAnsi" w:hAnsiTheme="majorHAnsi" w:cs="Times New Roman"/>
        </w:rPr>
        <w:t xml:space="preserve"> indicator based on pure feelings of people for specific markets or instruments negotiated in a given moment, worldwide.</w:t>
      </w:r>
    </w:p>
    <w:p w:rsidR="00294BAE" w:rsidRDefault="00294BAE" w:rsidP="00460C2C">
      <w:pPr>
        <w:pStyle w:val="Corpotesto"/>
        <w:spacing w:after="280"/>
        <w:rPr>
          <w:rFonts w:asciiTheme="majorHAnsi" w:hAnsiTheme="majorHAnsi" w:cs="Times New Roman"/>
        </w:rPr>
      </w:pPr>
      <w:r w:rsidRPr="00E024C4">
        <w:rPr>
          <w:rFonts w:asciiTheme="majorHAnsi" w:hAnsiTheme="majorHAnsi" w:cs="Times New Roman"/>
        </w:rPr>
        <w:t xml:space="preserve">CFX does not require any upfront price for its </w:t>
      </w:r>
      <w:r w:rsidR="00332AAF" w:rsidRPr="00E024C4">
        <w:rPr>
          <w:rFonts w:asciiTheme="majorHAnsi" w:hAnsiTheme="majorHAnsi" w:cs="Times New Roman"/>
        </w:rPr>
        <w:t xml:space="preserve">HATS </w:t>
      </w:r>
      <w:r w:rsidRPr="00E024C4">
        <w:rPr>
          <w:rFonts w:asciiTheme="majorHAnsi" w:hAnsiTheme="majorHAnsi" w:cs="Times New Roman"/>
        </w:rPr>
        <w:t>license: it bases all its remuneration to results granted for real by its HATS at c</w:t>
      </w:r>
      <w:r w:rsidR="00332AAF" w:rsidRPr="00E024C4">
        <w:rPr>
          <w:rFonts w:asciiTheme="majorHAnsi" w:hAnsiTheme="majorHAnsi" w:cs="Times New Roman"/>
        </w:rPr>
        <w:t>ustomer portfolios. T</w:t>
      </w:r>
      <w:r w:rsidRPr="00E024C4">
        <w:rPr>
          <w:rFonts w:asciiTheme="majorHAnsi" w:hAnsiTheme="majorHAnsi" w:cs="Times New Roman"/>
        </w:rPr>
        <w:t>his</w:t>
      </w:r>
      <w:r w:rsidR="00332AAF" w:rsidRPr="00E024C4">
        <w:rPr>
          <w:rFonts w:asciiTheme="majorHAnsi" w:hAnsiTheme="majorHAnsi" w:cs="Times New Roman"/>
        </w:rPr>
        <w:t xml:space="preserve"> offers tremendous opportunity for</w:t>
      </w:r>
      <w:r w:rsidRPr="00E024C4">
        <w:rPr>
          <w:rFonts w:asciiTheme="majorHAnsi" w:hAnsiTheme="majorHAnsi" w:cs="Times New Roman"/>
        </w:rPr>
        <w:t xml:space="preserve"> value creation </w:t>
      </w:r>
      <w:r w:rsidR="00332AAF" w:rsidRPr="00E024C4">
        <w:rPr>
          <w:rFonts w:asciiTheme="majorHAnsi" w:hAnsiTheme="majorHAnsi" w:cs="Times New Roman"/>
        </w:rPr>
        <w:t>in</w:t>
      </w:r>
      <w:r w:rsidRPr="00E024C4">
        <w:rPr>
          <w:rFonts w:asciiTheme="majorHAnsi" w:hAnsiTheme="majorHAnsi" w:cs="Times New Roman"/>
        </w:rPr>
        <w:t xml:space="preserve"> the long term, and</w:t>
      </w:r>
      <w:r w:rsidR="00332AAF" w:rsidRPr="00E024C4">
        <w:rPr>
          <w:rFonts w:asciiTheme="majorHAnsi" w:hAnsiTheme="majorHAnsi" w:cs="Times New Roman"/>
        </w:rPr>
        <w:t xml:space="preserve">, at the same time, lowers </w:t>
      </w:r>
      <w:r w:rsidRPr="00E024C4">
        <w:rPr>
          <w:rFonts w:asciiTheme="majorHAnsi" w:hAnsiTheme="majorHAnsi" w:cs="Times New Roman"/>
        </w:rPr>
        <w:t>entry barriers</w:t>
      </w:r>
      <w:r w:rsidR="00332AAF" w:rsidRPr="00E024C4">
        <w:rPr>
          <w:rFonts w:asciiTheme="majorHAnsi" w:hAnsiTheme="majorHAnsi" w:cs="Times New Roman"/>
        </w:rPr>
        <w:t xml:space="preserve"> so that c</w:t>
      </w:r>
      <w:r w:rsidRPr="00E024C4">
        <w:rPr>
          <w:rFonts w:asciiTheme="majorHAnsi" w:hAnsiTheme="majorHAnsi" w:cs="Times New Roman"/>
        </w:rPr>
        <w:t>ustomers pay only when they make a profit.</w:t>
      </w:r>
    </w:p>
    <w:p w:rsidR="00901CD7" w:rsidRPr="00901CD7" w:rsidRDefault="00501222" w:rsidP="00682692">
      <w:pPr>
        <w:pStyle w:val="Corpotesto"/>
        <w:spacing w:before="100" w:after="100"/>
        <w:rPr>
          <w:rFonts w:asciiTheme="majorHAnsi" w:hAnsiTheme="majorHAnsi" w:cs="Times New Roman"/>
        </w:rPr>
      </w:pPr>
      <w:r w:rsidRPr="00901CD7">
        <w:rPr>
          <w:rFonts w:asciiTheme="majorHAnsi" w:hAnsiTheme="majorHAnsi" w:cs="Times New Roman"/>
          <w:b/>
        </w:rPr>
        <w:t>FORMULA</w:t>
      </w:r>
    </w:p>
    <w:p w:rsidR="00901CD7" w:rsidRDefault="00901CD7" w:rsidP="00460C2C">
      <w:pPr>
        <w:pStyle w:val="Corpotesto"/>
        <w:numPr>
          <w:ilvl w:val="0"/>
          <w:numId w:val="27"/>
        </w:numPr>
        <w:spacing w:before="100" w:after="100"/>
        <w:rPr>
          <w:rFonts w:asciiTheme="majorHAnsi" w:hAnsiTheme="majorHAnsi" w:cs="Times New Roman"/>
        </w:rPr>
      </w:pPr>
      <w:r w:rsidRPr="00901CD7">
        <w:rPr>
          <w:rFonts w:asciiTheme="majorHAnsi" w:hAnsiTheme="majorHAnsi" w:cs="Times New Roman"/>
        </w:rPr>
        <w:t xml:space="preserve">expected average return per annum of HATS on </w:t>
      </w:r>
      <w:r w:rsidRPr="00514E99">
        <w:rPr>
          <w:rFonts w:asciiTheme="majorHAnsi" w:hAnsiTheme="majorHAnsi" w:cs="Times New Roman"/>
          <w:noProof/>
        </w:rPr>
        <w:t>third</w:t>
      </w:r>
      <w:r w:rsidR="00514E99">
        <w:rPr>
          <w:rFonts w:asciiTheme="majorHAnsi" w:hAnsiTheme="majorHAnsi" w:cs="Times New Roman"/>
          <w:noProof/>
        </w:rPr>
        <w:t>-</w:t>
      </w:r>
      <w:r w:rsidRPr="00514E99">
        <w:rPr>
          <w:rFonts w:asciiTheme="majorHAnsi" w:hAnsiTheme="majorHAnsi" w:cs="Times New Roman"/>
          <w:noProof/>
        </w:rPr>
        <w:t>party</w:t>
      </w:r>
      <w:r w:rsidRPr="00901CD7">
        <w:rPr>
          <w:rFonts w:asciiTheme="majorHAnsi" w:hAnsiTheme="majorHAnsi" w:cs="Times New Roman"/>
        </w:rPr>
        <w:t xml:space="preserve"> Assets under management = 21%</w:t>
      </w:r>
    </w:p>
    <w:p w:rsidR="00901CD7" w:rsidRDefault="00901CD7" w:rsidP="00460C2C">
      <w:pPr>
        <w:pStyle w:val="Corpotesto"/>
        <w:numPr>
          <w:ilvl w:val="0"/>
          <w:numId w:val="27"/>
        </w:numPr>
        <w:spacing w:before="100" w:after="100"/>
        <w:rPr>
          <w:rFonts w:asciiTheme="majorHAnsi" w:hAnsiTheme="majorHAnsi" w:cs="Times New Roman"/>
        </w:rPr>
      </w:pPr>
      <w:r w:rsidRPr="00901CD7">
        <w:rPr>
          <w:rFonts w:asciiTheme="majorHAnsi" w:hAnsiTheme="majorHAnsi" w:cs="Times New Roman"/>
        </w:rPr>
        <w:t>expected average fee on the 21% = 20%</w:t>
      </w:r>
    </w:p>
    <w:p w:rsidR="00150C5D" w:rsidRPr="00901CD7" w:rsidRDefault="00901CD7" w:rsidP="00460C2C">
      <w:pPr>
        <w:pStyle w:val="Corpotesto"/>
        <w:numPr>
          <w:ilvl w:val="0"/>
          <w:numId w:val="27"/>
        </w:numPr>
        <w:spacing w:before="100" w:after="100"/>
        <w:rPr>
          <w:rFonts w:asciiTheme="majorHAnsi" w:hAnsiTheme="majorHAnsi" w:cs="Times New Roman"/>
        </w:rPr>
      </w:pPr>
      <w:r>
        <w:rPr>
          <w:rFonts w:asciiTheme="majorHAnsi" w:hAnsiTheme="majorHAnsi" w:cs="Times New Roman"/>
        </w:rPr>
        <w:t>n</w:t>
      </w:r>
      <w:r w:rsidRPr="00901CD7">
        <w:rPr>
          <w:rFonts w:asciiTheme="majorHAnsi" w:hAnsiTheme="majorHAnsi" w:cs="Times New Roman"/>
        </w:rPr>
        <w:t xml:space="preserve">et fee on Asset Under </w:t>
      </w:r>
      <w:r w:rsidRPr="00514E99">
        <w:rPr>
          <w:rFonts w:asciiTheme="majorHAnsi" w:hAnsiTheme="majorHAnsi" w:cs="Times New Roman"/>
          <w:noProof/>
        </w:rPr>
        <w:t>management</w:t>
      </w:r>
      <w:r w:rsidRPr="00901CD7">
        <w:rPr>
          <w:rFonts w:asciiTheme="majorHAnsi" w:hAnsiTheme="majorHAnsi" w:cs="Times New Roman"/>
        </w:rPr>
        <w:t xml:space="preserve"> of Institutional customers 4.2%</w:t>
      </w:r>
    </w:p>
    <w:p w:rsidR="004B110F" w:rsidRPr="00851729" w:rsidRDefault="00405990" w:rsidP="00460C2C">
      <w:pPr>
        <w:pStyle w:val="Titolo3"/>
        <w:rPr>
          <w:rFonts w:asciiTheme="majorHAnsi" w:hAnsiTheme="majorHAnsi"/>
          <w:szCs w:val="28"/>
        </w:rPr>
      </w:pPr>
      <w:r w:rsidRPr="00514E99">
        <w:rPr>
          <w:rFonts w:asciiTheme="majorHAnsi" w:hAnsiTheme="majorHAnsi"/>
          <w:noProof/>
          <w:szCs w:val="28"/>
        </w:rPr>
        <w:lastRenderedPageBreak/>
        <w:t>MARKET</w:t>
      </w:r>
    </w:p>
    <w:p w:rsidR="004B110F" w:rsidRPr="00E024C4" w:rsidRDefault="00B80A59" w:rsidP="00460C2C">
      <w:pPr>
        <w:pStyle w:val="Corpotesto"/>
        <w:spacing w:after="280"/>
        <w:rPr>
          <w:rFonts w:asciiTheme="majorHAnsi" w:hAnsiTheme="majorHAnsi" w:cs="Times New Roman"/>
        </w:rPr>
      </w:pPr>
      <w:r w:rsidRPr="00E024C4">
        <w:rPr>
          <w:rFonts w:asciiTheme="majorHAnsi" w:hAnsiTheme="majorHAnsi" w:cs="Times New Roman"/>
        </w:rPr>
        <w:t>CFX</w:t>
      </w:r>
      <w:r w:rsidR="001B78B5" w:rsidRPr="00E024C4">
        <w:rPr>
          <w:rFonts w:asciiTheme="majorHAnsi" w:hAnsiTheme="majorHAnsi" w:cs="Times New Roman"/>
        </w:rPr>
        <w:t xml:space="preserve"> operate</w:t>
      </w:r>
      <w:r w:rsidRPr="00E024C4">
        <w:rPr>
          <w:rFonts w:asciiTheme="majorHAnsi" w:hAnsiTheme="majorHAnsi" w:cs="Times New Roman"/>
        </w:rPr>
        <w:t>s</w:t>
      </w:r>
      <w:r w:rsidR="0002553C" w:rsidRPr="00E024C4">
        <w:rPr>
          <w:rFonts w:asciiTheme="majorHAnsi" w:hAnsiTheme="majorHAnsi" w:cs="Times New Roman"/>
        </w:rPr>
        <w:t xml:space="preserve"> in the </w:t>
      </w:r>
      <w:r w:rsidR="001B78B5" w:rsidRPr="00E024C4">
        <w:rPr>
          <w:rFonts w:asciiTheme="majorHAnsi" w:hAnsiTheme="majorHAnsi" w:cs="Times New Roman"/>
        </w:rPr>
        <w:t>Alternative Investment Fund</w:t>
      </w:r>
      <w:r w:rsidR="0002553C" w:rsidRPr="00E024C4">
        <w:rPr>
          <w:rFonts w:asciiTheme="majorHAnsi" w:hAnsiTheme="majorHAnsi" w:cs="Times New Roman"/>
        </w:rPr>
        <w:t xml:space="preserve"> industry t</w:t>
      </w:r>
      <w:r w:rsidR="00512C6B" w:rsidRPr="00E024C4">
        <w:rPr>
          <w:rFonts w:asciiTheme="majorHAnsi" w:hAnsiTheme="majorHAnsi" w:cs="Times New Roman"/>
        </w:rPr>
        <w:t>hat manages</w:t>
      </w:r>
      <w:r w:rsidRPr="00E024C4">
        <w:rPr>
          <w:rFonts w:asciiTheme="majorHAnsi" w:hAnsiTheme="majorHAnsi" w:cs="Times New Roman"/>
        </w:rPr>
        <w:t xml:space="preserve"> $3.5 Trillion</w:t>
      </w:r>
      <w:r w:rsidR="00512C6B" w:rsidRPr="00E024C4">
        <w:rPr>
          <w:rFonts w:asciiTheme="majorHAnsi" w:hAnsiTheme="majorHAnsi" w:cs="Times New Roman"/>
        </w:rPr>
        <w:t xml:space="preserve"> from i</w:t>
      </w:r>
      <w:r w:rsidR="001B78B5" w:rsidRPr="00E024C4">
        <w:rPr>
          <w:rFonts w:asciiTheme="majorHAnsi" w:hAnsiTheme="majorHAnsi" w:cs="Times New Roman"/>
        </w:rPr>
        <w:t>nstitution</w:t>
      </w:r>
      <w:r w:rsidR="00512C6B" w:rsidRPr="00E024C4">
        <w:rPr>
          <w:rFonts w:asciiTheme="majorHAnsi" w:hAnsiTheme="majorHAnsi" w:cs="Times New Roman"/>
        </w:rPr>
        <w:t>s and $1.25 t</w:t>
      </w:r>
      <w:r w:rsidRPr="00E024C4">
        <w:rPr>
          <w:rFonts w:asciiTheme="majorHAnsi" w:hAnsiTheme="majorHAnsi" w:cs="Times New Roman"/>
        </w:rPr>
        <w:t>rillion</w:t>
      </w:r>
      <w:r w:rsidR="00512C6B" w:rsidRPr="00E024C4">
        <w:rPr>
          <w:rFonts w:asciiTheme="majorHAnsi" w:hAnsiTheme="majorHAnsi" w:cs="Times New Roman"/>
        </w:rPr>
        <w:t xml:space="preserve"> from private i</w:t>
      </w:r>
      <w:r w:rsidR="001B78B5" w:rsidRPr="00E024C4">
        <w:rPr>
          <w:rFonts w:asciiTheme="majorHAnsi" w:hAnsiTheme="majorHAnsi" w:cs="Times New Roman"/>
        </w:rPr>
        <w:t>nvestor</w:t>
      </w:r>
      <w:r w:rsidR="00B5703F" w:rsidRPr="00E024C4">
        <w:rPr>
          <w:rFonts w:asciiTheme="majorHAnsi" w:hAnsiTheme="majorHAnsi" w:cs="Times New Roman"/>
        </w:rPr>
        <w:t>s. We project</w:t>
      </w:r>
      <w:r w:rsidR="001B78B5" w:rsidRPr="00E024C4">
        <w:rPr>
          <w:rFonts w:asciiTheme="majorHAnsi" w:hAnsiTheme="majorHAnsi" w:cs="Times New Roman"/>
        </w:rPr>
        <w:t xml:space="preserve"> to reach a 0.4% market share in 5 years.</w:t>
      </w:r>
    </w:p>
    <w:p w:rsidR="004B110F" w:rsidRPr="00B84E47" w:rsidRDefault="00405990" w:rsidP="00460C2C">
      <w:pPr>
        <w:pStyle w:val="Titolo3"/>
        <w:rPr>
          <w:rFonts w:asciiTheme="majorHAnsi" w:hAnsiTheme="majorHAnsi"/>
          <w:szCs w:val="28"/>
        </w:rPr>
      </w:pPr>
      <w:r w:rsidRPr="00B84E47">
        <w:rPr>
          <w:rFonts w:asciiTheme="majorHAnsi" w:hAnsiTheme="majorHAnsi"/>
          <w:szCs w:val="28"/>
        </w:rPr>
        <w:t>COMPETITION</w:t>
      </w:r>
    </w:p>
    <w:p w:rsidR="0016590F" w:rsidRPr="00E024C4" w:rsidRDefault="000101D5" w:rsidP="00460C2C">
      <w:pPr>
        <w:pStyle w:val="Corpotesto"/>
        <w:spacing w:after="280"/>
        <w:rPr>
          <w:rFonts w:asciiTheme="majorHAnsi" w:hAnsiTheme="majorHAnsi" w:cs="Times New Roman"/>
        </w:rPr>
      </w:pPr>
      <w:r w:rsidRPr="00E024C4">
        <w:rPr>
          <w:rFonts w:asciiTheme="majorHAnsi" w:hAnsiTheme="majorHAnsi" w:cs="Times New Roman"/>
        </w:rPr>
        <w:t>T</w:t>
      </w:r>
      <w:r w:rsidR="000E33DC" w:rsidRPr="00E024C4">
        <w:rPr>
          <w:rFonts w:asciiTheme="majorHAnsi" w:hAnsiTheme="majorHAnsi" w:cs="Times New Roman"/>
          <w:iCs/>
        </w:rPr>
        <w:t xml:space="preserve">here does not exist, in any place worldwide, an </w:t>
      </w:r>
      <w:r w:rsidR="000E33DC" w:rsidRPr="00E024C4">
        <w:rPr>
          <w:rFonts w:asciiTheme="majorHAnsi" w:hAnsiTheme="majorHAnsi" w:cs="Times New Roman"/>
          <w:iCs/>
          <w:noProof/>
        </w:rPr>
        <w:t>entity</w:t>
      </w:r>
      <w:r w:rsidR="000E33DC" w:rsidRPr="00E024C4">
        <w:rPr>
          <w:rFonts w:asciiTheme="majorHAnsi" w:hAnsiTheme="majorHAnsi" w:cs="Times New Roman"/>
          <w:iCs/>
        </w:rPr>
        <w:t xml:space="preserve"> offering a competing solution comparable to our “real people” AI and Sentiment Index. </w:t>
      </w:r>
      <w:r w:rsidR="000E33DC" w:rsidRPr="00E024C4">
        <w:rPr>
          <w:rFonts w:asciiTheme="majorHAnsi" w:hAnsiTheme="majorHAnsi" w:cs="Times New Roman"/>
        </w:rPr>
        <w:t>C</w:t>
      </w:r>
      <w:r w:rsidR="001B78B5" w:rsidRPr="00E024C4">
        <w:rPr>
          <w:rFonts w:asciiTheme="majorHAnsi" w:hAnsiTheme="majorHAnsi" w:cs="Times New Roman"/>
        </w:rPr>
        <w:t>ompetition could arrive fro</w:t>
      </w:r>
      <w:r w:rsidR="000E33DC" w:rsidRPr="00E024C4">
        <w:rPr>
          <w:rFonts w:asciiTheme="majorHAnsi" w:hAnsiTheme="majorHAnsi" w:cs="Times New Roman"/>
        </w:rPr>
        <w:t>m any Bank, Fund or Financial Organization that offers</w:t>
      </w:r>
      <w:r w:rsidR="001B78B5" w:rsidRPr="00E024C4">
        <w:rPr>
          <w:rFonts w:asciiTheme="majorHAnsi" w:hAnsiTheme="majorHAnsi" w:cs="Times New Roman"/>
        </w:rPr>
        <w:t xml:space="preserve"> products to investors.</w:t>
      </w:r>
    </w:p>
    <w:p w:rsidR="00D705C2" w:rsidRPr="00B84E47" w:rsidRDefault="00405990" w:rsidP="00460C2C">
      <w:pPr>
        <w:pStyle w:val="Titolo3"/>
        <w:spacing w:after="280" w:line="240" w:lineRule="auto"/>
        <w:rPr>
          <w:rFonts w:asciiTheme="majorHAnsi" w:hAnsiTheme="majorHAnsi"/>
          <w:szCs w:val="28"/>
        </w:rPr>
      </w:pPr>
      <w:r w:rsidRPr="00514E99">
        <w:rPr>
          <w:rFonts w:asciiTheme="majorHAnsi" w:hAnsiTheme="majorHAnsi"/>
          <w:noProof/>
          <w:szCs w:val="28"/>
        </w:rPr>
        <w:t>WHY</w:t>
      </w:r>
      <w:r w:rsidRPr="00B84E47">
        <w:rPr>
          <w:rFonts w:asciiTheme="majorHAnsi" w:hAnsiTheme="majorHAnsi"/>
          <w:szCs w:val="28"/>
        </w:rPr>
        <w:t xml:space="preserve"> </w:t>
      </w:r>
      <w:r w:rsidRPr="00514E99">
        <w:rPr>
          <w:rFonts w:asciiTheme="majorHAnsi" w:hAnsiTheme="majorHAnsi"/>
          <w:noProof/>
          <w:szCs w:val="28"/>
        </w:rPr>
        <w:t>US</w:t>
      </w:r>
      <w:r w:rsidRPr="00B84E47">
        <w:rPr>
          <w:rFonts w:asciiTheme="majorHAnsi" w:hAnsiTheme="majorHAnsi"/>
          <w:szCs w:val="28"/>
        </w:rPr>
        <w:t>?</w:t>
      </w:r>
    </w:p>
    <w:p w:rsidR="00405990" w:rsidRPr="00E024C4" w:rsidRDefault="00D705C2" w:rsidP="00460C2C">
      <w:pPr>
        <w:pStyle w:val="Corpotesto"/>
        <w:spacing w:after="280"/>
        <w:rPr>
          <w:rFonts w:asciiTheme="majorHAnsi" w:hAnsiTheme="majorHAnsi" w:cs="Times New Roman"/>
        </w:rPr>
      </w:pPr>
      <w:r w:rsidRPr="00E024C4">
        <w:rPr>
          <w:rFonts w:asciiTheme="majorHAnsi" w:hAnsiTheme="majorHAnsi" w:cs="Times New Roman"/>
        </w:rPr>
        <w:t>We are a team with proven market experience capable of offering deep innovation, breakthrough systems, and an impressive rate of return based on knowledge, backtesting, vision</w:t>
      </w:r>
      <w:r w:rsidR="00FD353B" w:rsidRPr="00E024C4">
        <w:rPr>
          <w:rFonts w:asciiTheme="majorHAnsi" w:hAnsiTheme="majorHAnsi" w:cs="Times New Roman"/>
        </w:rPr>
        <w:t>,</w:t>
      </w:r>
      <w:r w:rsidRPr="00E024C4">
        <w:rPr>
          <w:rFonts w:asciiTheme="majorHAnsi" w:hAnsiTheme="majorHAnsi" w:cs="Times New Roman"/>
        </w:rPr>
        <w:t xml:space="preserve"> and willingness.</w:t>
      </w:r>
    </w:p>
    <w:tbl>
      <w:tblPr>
        <w:tblStyle w:val="Grigliatabella"/>
        <w:tblW w:w="0" w:type="auto"/>
        <w:tblBorders>
          <w:top w:val="none" w:sz="0" w:space="0" w:color="auto"/>
          <w:left w:val="none" w:sz="0" w:space="0" w:color="auto"/>
          <w:bottom w:val="single" w:sz="8" w:space="0" w:color="018BB3"/>
          <w:right w:val="none" w:sz="0" w:space="0" w:color="auto"/>
          <w:insideH w:val="single" w:sz="8" w:space="0" w:color="018BB3"/>
          <w:insideV w:val="single" w:sz="8" w:space="0" w:color="018BB3"/>
        </w:tblBorders>
        <w:tblCellMar>
          <w:top w:w="288" w:type="dxa"/>
          <w:left w:w="115" w:type="dxa"/>
          <w:bottom w:w="288" w:type="dxa"/>
          <w:right w:w="115" w:type="dxa"/>
        </w:tblCellMar>
        <w:tblLook w:val="04A0" w:firstRow="1" w:lastRow="0" w:firstColumn="1" w:lastColumn="0" w:noHBand="0" w:noVBand="1"/>
      </w:tblPr>
      <w:tblGrid>
        <w:gridCol w:w="9360"/>
      </w:tblGrid>
      <w:tr w:rsidR="00B84E47" w:rsidTr="003B268E">
        <w:tc>
          <w:tcPr>
            <w:tcW w:w="9360" w:type="dxa"/>
          </w:tcPr>
          <w:p w:rsidR="00B84E47" w:rsidRPr="009232BC" w:rsidRDefault="00B84E47" w:rsidP="00460C2C">
            <w:pPr>
              <w:pStyle w:val="Titolo1"/>
              <w:rPr>
                <w:rFonts w:ascii="Franklin Gothic Demi" w:hAnsi="Franklin Gothic Demi"/>
                <w:color w:val="018BB3"/>
                <w:spacing w:val="26"/>
              </w:rPr>
            </w:pPr>
            <w:bookmarkStart w:id="11" w:name="_Toc523439982"/>
            <w:r w:rsidRPr="009232BC">
              <w:rPr>
                <w:rFonts w:ascii="Franklin Gothic Demi" w:hAnsi="Franklin Gothic Demi"/>
                <w:color w:val="018BB3"/>
                <w:spacing w:val="26"/>
              </w:rPr>
              <w:t>Security Token Offering (STO)</w:t>
            </w:r>
            <w:bookmarkEnd w:id="11"/>
          </w:p>
        </w:tc>
      </w:tr>
    </w:tbl>
    <w:p w:rsidR="00B84E47" w:rsidRDefault="00B84E47" w:rsidP="00460C2C">
      <w:pPr>
        <w:rPr>
          <w:b/>
        </w:rPr>
      </w:pPr>
    </w:p>
    <w:p w:rsidR="00B84E47" w:rsidRDefault="00B84E47" w:rsidP="00460C2C">
      <w:pPr>
        <w:rPr>
          <w:rFonts w:asciiTheme="majorHAnsi" w:hAnsiTheme="majorHAnsi"/>
          <w:b/>
          <w:noProof/>
          <w:sz w:val="28"/>
          <w:szCs w:val="28"/>
        </w:rPr>
      </w:pPr>
      <w:r w:rsidRPr="00B84E47">
        <w:rPr>
          <w:rFonts w:asciiTheme="majorHAnsi" w:hAnsiTheme="majorHAnsi"/>
          <w:b/>
          <w:sz w:val="28"/>
          <w:szCs w:val="28"/>
        </w:rPr>
        <w:t xml:space="preserve">REASON FOR </w:t>
      </w:r>
      <w:r w:rsidRPr="00B84E47">
        <w:rPr>
          <w:rFonts w:asciiTheme="majorHAnsi" w:hAnsiTheme="majorHAnsi"/>
          <w:b/>
          <w:noProof/>
          <w:sz w:val="28"/>
          <w:szCs w:val="28"/>
        </w:rPr>
        <w:t>OFFERING</w:t>
      </w:r>
    </w:p>
    <w:p w:rsidR="00333F23" w:rsidRPr="00B84E47" w:rsidRDefault="000A1C8F" w:rsidP="00460C2C">
      <w:pPr>
        <w:rPr>
          <w:rFonts w:ascii="Franklin Gothic Demi" w:hAnsi="Franklin Gothic Demi"/>
          <w:b/>
          <w:bCs/>
          <w:iCs/>
          <w:color w:val="018BB3"/>
          <w:spacing w:val="26"/>
          <w:szCs w:val="36"/>
        </w:rPr>
      </w:pPr>
      <w:r w:rsidRPr="00E024C4">
        <w:rPr>
          <w:rFonts w:asciiTheme="majorHAnsi" w:hAnsiTheme="majorHAnsi"/>
        </w:rPr>
        <w:t xml:space="preserve">Investors want a better return on investment with a minimum of added risk. The solution is to have investment funds managed in the most professional and advanced way. CFX has developed an advanced trading system software named Highly Advanced Trading System (HATS) based on technical analysis, quantitative analysis, and Artificial Intelligence. </w:t>
      </w:r>
      <w:r w:rsidR="00333F23" w:rsidRPr="00E024C4">
        <w:rPr>
          <w:rFonts w:asciiTheme="majorHAnsi" w:hAnsiTheme="majorHAnsi"/>
        </w:rPr>
        <w:t>The CFX STO will provide the resources necessary for the successful launch of our next-gen fintech product/service “HATS + CFX Sentiment Index”.</w:t>
      </w:r>
      <w:bookmarkStart w:id="12" w:name="_Toc523439983"/>
      <w:r w:rsidR="00D72775">
        <w:rPr>
          <w:rFonts w:asciiTheme="majorHAnsi" w:hAnsiTheme="majorHAnsi"/>
        </w:rPr>
        <w:br/>
      </w:r>
      <w:r w:rsidR="00D72775">
        <w:rPr>
          <w:rFonts w:asciiTheme="majorHAnsi" w:hAnsiTheme="majorHAnsi"/>
        </w:rPr>
        <w:br/>
      </w:r>
      <w:r w:rsidR="00333F23" w:rsidRPr="00D72775">
        <w:rPr>
          <w:rFonts w:ascii="Franklin Gothic Demi" w:hAnsi="Franklin Gothic Demi"/>
          <w:b/>
          <w:bCs/>
          <w:iCs/>
          <w:noProof/>
          <w:color w:val="018BB3"/>
          <w:spacing w:val="26"/>
          <w:sz w:val="36"/>
          <w:szCs w:val="36"/>
        </w:rPr>
        <w:t>HATS</w:t>
      </w:r>
      <w:r w:rsidR="00333F23" w:rsidRPr="00D72775">
        <w:rPr>
          <w:rFonts w:ascii="Franklin Gothic Demi" w:hAnsi="Franklin Gothic Demi"/>
          <w:b/>
          <w:bCs/>
          <w:iCs/>
          <w:color w:val="018BB3"/>
          <w:spacing w:val="26"/>
          <w:sz w:val="36"/>
          <w:szCs w:val="36"/>
        </w:rPr>
        <w:t xml:space="preserve"> with CFX Sentiment Index on Blockchain</w:t>
      </w:r>
      <w:bookmarkEnd w:id="12"/>
      <w:r w:rsidR="00D72775">
        <w:rPr>
          <w:rFonts w:ascii="Franklin Gothic Demi" w:hAnsi="Franklin Gothic Demi"/>
          <w:b/>
          <w:bCs/>
          <w:iCs/>
          <w:color w:val="018BB3"/>
          <w:spacing w:val="26"/>
          <w:sz w:val="36"/>
          <w:szCs w:val="36"/>
        </w:rPr>
        <w:br/>
      </w:r>
    </w:p>
    <w:p w:rsidR="00333F23" w:rsidRPr="00E024C4" w:rsidRDefault="00333F23" w:rsidP="00460C2C">
      <w:pPr>
        <w:rPr>
          <w:rFonts w:asciiTheme="majorHAnsi" w:hAnsiTheme="majorHAnsi"/>
        </w:rPr>
      </w:pPr>
      <w:r w:rsidRPr="00E024C4">
        <w:rPr>
          <w:rFonts w:asciiTheme="majorHAnsi" w:hAnsiTheme="majorHAnsi"/>
        </w:rPr>
        <w:t xml:space="preserve">Recent advances in blockchain technology, along with Artificial Intelligence and Broadband Internet, have opened the possibility to create a new system of trading. </w:t>
      </w:r>
    </w:p>
    <w:p w:rsidR="00333F23" w:rsidRDefault="00333F23" w:rsidP="00460C2C">
      <w:pPr>
        <w:rPr>
          <w:b/>
        </w:rPr>
      </w:pPr>
    </w:p>
    <w:p w:rsidR="00333F23" w:rsidRPr="00231D20" w:rsidRDefault="00333F23" w:rsidP="00682692">
      <w:pPr>
        <w:jc w:val="center"/>
        <w:rPr>
          <w:b/>
        </w:rPr>
      </w:pPr>
      <w:r>
        <w:rPr>
          <w:noProof/>
          <w:lang w:val="en-US" w:eastAsia="en-US"/>
        </w:rPr>
        <w:lastRenderedPageBreak/>
        <w:drawing>
          <wp:inline distT="0" distB="0" distL="0" distR="0">
            <wp:extent cx="4218856" cy="2434856"/>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ull-bear.jpg"/>
                    <pic:cNvPicPr/>
                  </pic:nvPicPr>
                  <pic:blipFill>
                    <a:blip r:embed="rId9">
                      <a:extLst>
                        <a:ext uri="{28A0092B-C50C-407E-A947-70E740481C1C}">
                          <a14:useLocalDpi xmlns:a14="http://schemas.microsoft.com/office/drawing/2010/main" val="0"/>
                        </a:ext>
                      </a:extLst>
                    </a:blip>
                    <a:stretch>
                      <a:fillRect/>
                    </a:stretch>
                  </pic:blipFill>
                  <pic:spPr>
                    <a:xfrm>
                      <a:off x="0" y="0"/>
                      <a:ext cx="4235851" cy="2444665"/>
                    </a:xfrm>
                    <a:prstGeom prst="rect">
                      <a:avLst/>
                    </a:prstGeom>
                  </pic:spPr>
                </pic:pic>
              </a:graphicData>
            </a:graphic>
          </wp:inline>
        </w:drawing>
      </w:r>
    </w:p>
    <w:p w:rsidR="00333F23" w:rsidRDefault="00333F23" w:rsidP="00460C2C"/>
    <w:p w:rsidR="00333F23" w:rsidRPr="00E024C4" w:rsidRDefault="00333F23" w:rsidP="00460C2C">
      <w:pPr>
        <w:rPr>
          <w:rFonts w:asciiTheme="majorHAnsi" w:hAnsiTheme="majorHAnsi"/>
        </w:rPr>
      </w:pPr>
      <w:r w:rsidRPr="00E024C4">
        <w:rPr>
          <w:rFonts w:asciiTheme="majorHAnsi" w:hAnsiTheme="majorHAnsi"/>
        </w:rPr>
        <w:t>CFX HATS is the sum of four different trading systems, each with its own unique characteristics and specific risk/reward aspects. Added to this, CFX will insert the CFX Sentiment Index indicator housed on blockchain through its token owners. This is the first time an indicator will be available that is based on the feelings of people for specific markets or instruments negotiated, in a given moment, worldwide</w:t>
      </w:r>
      <w:r w:rsidRPr="00F730AD">
        <w:rPr>
          <w:rFonts w:asciiTheme="majorHAnsi" w:hAnsiTheme="majorHAnsi"/>
          <w:noProof/>
        </w:rPr>
        <w:t>.</w:t>
      </w:r>
      <w:r w:rsidR="00F730AD">
        <w:rPr>
          <w:rFonts w:asciiTheme="majorHAnsi" w:hAnsiTheme="majorHAnsi"/>
          <w:noProof/>
        </w:rPr>
        <w:t xml:space="preserve"> </w:t>
      </w:r>
      <w:r w:rsidRPr="00F730AD">
        <w:rPr>
          <w:rFonts w:asciiTheme="majorHAnsi" w:hAnsiTheme="majorHAnsi"/>
          <w:noProof/>
        </w:rPr>
        <w:t>Crowdsourced</w:t>
      </w:r>
      <w:r w:rsidRPr="00E024C4">
        <w:rPr>
          <w:rFonts w:asciiTheme="majorHAnsi" w:hAnsiTheme="majorHAnsi"/>
        </w:rPr>
        <w:t xml:space="preserve"> prediction </w:t>
      </w:r>
      <w:r w:rsidRPr="00F730AD">
        <w:rPr>
          <w:rFonts w:asciiTheme="majorHAnsi" w:hAnsiTheme="majorHAnsi"/>
          <w:noProof/>
        </w:rPr>
        <w:t>platforms</w:t>
      </w:r>
      <w:r w:rsidR="00F730AD">
        <w:rPr>
          <w:rFonts w:asciiTheme="majorHAnsi" w:hAnsiTheme="majorHAnsi"/>
          <w:noProof/>
        </w:rPr>
        <w:t xml:space="preserve"> </w:t>
      </w:r>
      <w:r w:rsidRPr="00F730AD">
        <w:rPr>
          <w:rFonts w:asciiTheme="majorHAnsi" w:hAnsiTheme="majorHAnsi"/>
          <w:noProof/>
        </w:rPr>
        <w:t>often</w:t>
      </w:r>
      <w:r w:rsidRPr="00E024C4">
        <w:rPr>
          <w:rFonts w:asciiTheme="majorHAnsi" w:hAnsiTheme="majorHAnsi"/>
        </w:rPr>
        <w:t xml:space="preserve"> demonstrate the superior accuracy compared with the predictions of experts and pundits.</w:t>
      </w:r>
    </w:p>
    <w:p w:rsidR="008E41AF" w:rsidRPr="00E024C4" w:rsidRDefault="008E41AF" w:rsidP="00460C2C">
      <w:pPr>
        <w:rPr>
          <w:rFonts w:asciiTheme="majorHAnsi" w:hAnsiTheme="majorHAnsi"/>
        </w:rPr>
      </w:pPr>
    </w:p>
    <w:p w:rsidR="00501222" w:rsidRDefault="000A1C8F" w:rsidP="00460C2C">
      <w:pPr>
        <w:rPr>
          <w:rFonts w:asciiTheme="majorHAnsi" w:hAnsiTheme="majorHAnsi"/>
        </w:rPr>
      </w:pPr>
      <w:r w:rsidRPr="00E024C4">
        <w:rPr>
          <w:rFonts w:asciiTheme="majorHAnsi" w:hAnsiTheme="majorHAnsi"/>
        </w:rPr>
        <w:t>CFX will develop a blockchain-based indicator named the CFX Sentiment Index and use it to optimize HATS to reach the best equilibrium between the desired result and risk-acceptability. The CFX Sentiment Index will measure the public's attitude toward financial market trends in a given moment, worldwide.</w:t>
      </w:r>
    </w:p>
    <w:p w:rsidR="009D2016" w:rsidRPr="00E024C4" w:rsidRDefault="009D2016" w:rsidP="00460C2C">
      <w:pPr>
        <w:rPr>
          <w:rFonts w:asciiTheme="majorHAnsi" w:hAnsiTheme="majorHAnsi"/>
        </w:rPr>
      </w:pPr>
    </w:p>
    <w:p w:rsidR="00851729" w:rsidRPr="00E024C4" w:rsidRDefault="009D2016" w:rsidP="00460C2C">
      <w:pPr>
        <w:pStyle w:val="Paragrafoelenco"/>
        <w:numPr>
          <w:ilvl w:val="0"/>
          <w:numId w:val="23"/>
        </w:numPr>
        <w:spacing w:line="259" w:lineRule="auto"/>
        <w:ind w:left="270" w:hanging="270"/>
        <w:rPr>
          <w:rFonts w:asciiTheme="majorHAnsi" w:hAnsiTheme="majorHAnsi"/>
        </w:rPr>
      </w:pPr>
      <w:r w:rsidRPr="00E024C4">
        <w:rPr>
          <w:rFonts w:asciiTheme="majorHAnsi" w:hAnsiTheme="majorHAnsi"/>
        </w:rPr>
        <w:t>CryptofxForinvest will not open personal accounts to manage as it is not a money management company. Therefore</w:t>
      </w:r>
      <w:r w:rsidR="00DB1B44" w:rsidRPr="00E024C4">
        <w:rPr>
          <w:rFonts w:asciiTheme="majorHAnsi" w:hAnsiTheme="majorHAnsi"/>
        </w:rPr>
        <w:t>,</w:t>
      </w:r>
      <w:r w:rsidRPr="00E024C4">
        <w:rPr>
          <w:rFonts w:asciiTheme="majorHAnsi" w:hAnsiTheme="majorHAnsi"/>
        </w:rPr>
        <w:t xml:space="preserve"> it does not</w:t>
      </w:r>
      <w:r w:rsidR="00F730AD">
        <w:rPr>
          <w:rFonts w:asciiTheme="majorHAnsi" w:hAnsiTheme="majorHAnsi"/>
        </w:rPr>
        <w:t>, in any case,</w:t>
      </w:r>
      <w:r w:rsidRPr="00E024C4">
        <w:rPr>
          <w:rFonts w:asciiTheme="majorHAnsi" w:hAnsiTheme="majorHAnsi"/>
        </w:rPr>
        <w:t xml:space="preserve"> solicit private investment to anyone, in any form.</w:t>
      </w:r>
    </w:p>
    <w:p w:rsidR="00851729" w:rsidRPr="00E024C4" w:rsidRDefault="009D2016" w:rsidP="00460C2C">
      <w:pPr>
        <w:pStyle w:val="Paragrafoelenco"/>
        <w:numPr>
          <w:ilvl w:val="0"/>
          <w:numId w:val="23"/>
        </w:numPr>
        <w:spacing w:line="259" w:lineRule="auto"/>
        <w:ind w:left="270" w:hanging="270"/>
        <w:rPr>
          <w:rFonts w:asciiTheme="majorHAnsi" w:hAnsiTheme="majorHAnsi"/>
        </w:rPr>
      </w:pPr>
      <w:r w:rsidRPr="00E024C4">
        <w:rPr>
          <w:rFonts w:asciiTheme="majorHAnsi" w:hAnsiTheme="majorHAnsi"/>
        </w:rPr>
        <w:t>The company will operate on its own, through its Investment Blockchain Pool (IBP) trading activity through the issued Tokens.</w:t>
      </w:r>
    </w:p>
    <w:p w:rsidR="00851729" w:rsidRPr="00E024C4" w:rsidRDefault="009D2016" w:rsidP="00460C2C">
      <w:pPr>
        <w:pStyle w:val="Paragrafoelenco"/>
        <w:numPr>
          <w:ilvl w:val="0"/>
          <w:numId w:val="23"/>
        </w:numPr>
        <w:spacing w:line="259" w:lineRule="auto"/>
        <w:ind w:left="270" w:hanging="270"/>
        <w:rPr>
          <w:rFonts w:asciiTheme="majorHAnsi" w:hAnsiTheme="majorHAnsi"/>
        </w:rPr>
      </w:pPr>
      <w:r w:rsidRPr="00E024C4">
        <w:rPr>
          <w:rFonts w:asciiTheme="majorHAnsi" w:hAnsiTheme="majorHAnsi"/>
        </w:rPr>
        <w:t>Token subscribers who contribute to the Sentiment Index will indirectly benefit from the pool.</w:t>
      </w:r>
    </w:p>
    <w:p w:rsidR="00851729" w:rsidRPr="00E024C4" w:rsidRDefault="009D2016" w:rsidP="00460C2C">
      <w:pPr>
        <w:pStyle w:val="Paragrafoelenco"/>
        <w:numPr>
          <w:ilvl w:val="0"/>
          <w:numId w:val="23"/>
        </w:numPr>
        <w:spacing w:line="259" w:lineRule="auto"/>
        <w:ind w:left="270" w:hanging="270"/>
        <w:rPr>
          <w:rFonts w:asciiTheme="majorHAnsi" w:hAnsiTheme="majorHAnsi"/>
        </w:rPr>
      </w:pPr>
      <w:r w:rsidRPr="00E024C4">
        <w:rPr>
          <w:rFonts w:asciiTheme="majorHAnsi" w:hAnsiTheme="majorHAnsi"/>
        </w:rPr>
        <w:t>CFX Toke</w:t>
      </w:r>
      <w:r w:rsidR="00DB1B44" w:rsidRPr="00E024C4">
        <w:rPr>
          <w:rFonts w:asciiTheme="majorHAnsi" w:hAnsiTheme="majorHAnsi"/>
        </w:rPr>
        <w:t>n is the “TOKEN”. Owners have the opportunity</w:t>
      </w:r>
      <w:r w:rsidRPr="00E024C4">
        <w:rPr>
          <w:rFonts w:asciiTheme="majorHAnsi" w:hAnsiTheme="majorHAnsi"/>
        </w:rPr>
        <w:t xml:space="preserve"> to contribute to Sentiment Indicator (or Index) that can be utilized for trading in Stock, Currencies</w:t>
      </w:r>
      <w:r w:rsidR="007E1942" w:rsidRPr="00F730AD">
        <w:rPr>
          <w:rFonts w:asciiTheme="majorHAnsi" w:hAnsiTheme="majorHAnsi"/>
          <w:noProof/>
        </w:rPr>
        <w:t>,</w:t>
      </w:r>
      <w:r w:rsidR="00F730AD">
        <w:rPr>
          <w:rFonts w:asciiTheme="majorHAnsi" w:hAnsiTheme="majorHAnsi"/>
          <w:noProof/>
        </w:rPr>
        <w:t xml:space="preserve"> </w:t>
      </w:r>
      <w:r w:rsidRPr="00F730AD">
        <w:rPr>
          <w:rFonts w:asciiTheme="majorHAnsi" w:hAnsiTheme="majorHAnsi"/>
          <w:noProof/>
        </w:rPr>
        <w:t>and</w:t>
      </w:r>
      <w:r w:rsidRPr="00E024C4">
        <w:rPr>
          <w:rFonts w:asciiTheme="majorHAnsi" w:hAnsiTheme="majorHAnsi"/>
        </w:rPr>
        <w:t xml:space="preserve"> Commodities</w:t>
      </w:r>
      <w:r w:rsidR="00D406B3" w:rsidRPr="00E024C4">
        <w:rPr>
          <w:rFonts w:asciiTheme="majorHAnsi" w:hAnsiTheme="majorHAnsi"/>
        </w:rPr>
        <w:t>.</w:t>
      </w:r>
    </w:p>
    <w:p w:rsidR="00851729" w:rsidRPr="00E024C4" w:rsidRDefault="009D2016" w:rsidP="00460C2C">
      <w:pPr>
        <w:pStyle w:val="Paragrafoelenco"/>
        <w:numPr>
          <w:ilvl w:val="0"/>
          <w:numId w:val="23"/>
        </w:numPr>
        <w:spacing w:line="259" w:lineRule="auto"/>
        <w:ind w:left="270" w:hanging="270"/>
        <w:rPr>
          <w:rFonts w:asciiTheme="majorHAnsi" w:hAnsiTheme="majorHAnsi"/>
        </w:rPr>
      </w:pPr>
      <w:r w:rsidRPr="00E024C4">
        <w:rPr>
          <w:rFonts w:asciiTheme="majorHAnsi" w:hAnsiTheme="majorHAnsi"/>
        </w:rPr>
        <w:t xml:space="preserve">“Sentiment” is </w:t>
      </w:r>
      <w:r w:rsidR="00D406B3" w:rsidRPr="00E024C4">
        <w:rPr>
          <w:rFonts w:asciiTheme="majorHAnsi" w:hAnsiTheme="majorHAnsi"/>
        </w:rPr>
        <w:t xml:space="preserve">a </w:t>
      </w:r>
      <w:r w:rsidRPr="00E024C4">
        <w:rPr>
          <w:rFonts w:asciiTheme="majorHAnsi" w:hAnsiTheme="majorHAnsi"/>
        </w:rPr>
        <w:t>well</w:t>
      </w:r>
      <w:r w:rsidR="007E1942" w:rsidRPr="00E024C4">
        <w:rPr>
          <w:rFonts w:asciiTheme="majorHAnsi" w:hAnsiTheme="majorHAnsi"/>
        </w:rPr>
        <w:t>-</w:t>
      </w:r>
      <w:r w:rsidRPr="00E024C4">
        <w:rPr>
          <w:rFonts w:asciiTheme="majorHAnsi" w:hAnsiTheme="majorHAnsi"/>
        </w:rPr>
        <w:t xml:space="preserve">known indicator used by traders. There are different Sentiment indicators on market, all of them built on data. CFX Sentiment is the </w:t>
      </w:r>
      <w:r w:rsidR="00D406B3" w:rsidRPr="00E024C4">
        <w:rPr>
          <w:rFonts w:asciiTheme="majorHAnsi" w:hAnsiTheme="majorHAnsi"/>
        </w:rPr>
        <w:t>first one</w:t>
      </w:r>
      <w:r w:rsidRPr="00E024C4">
        <w:rPr>
          <w:rFonts w:asciiTheme="majorHAnsi" w:hAnsiTheme="majorHAnsi"/>
        </w:rPr>
        <w:t xml:space="preserve"> coming directly from people.</w:t>
      </w:r>
    </w:p>
    <w:p w:rsidR="009D2016" w:rsidRPr="00E024C4" w:rsidRDefault="009D2016" w:rsidP="00460C2C">
      <w:pPr>
        <w:pStyle w:val="Paragrafoelenco"/>
        <w:numPr>
          <w:ilvl w:val="0"/>
          <w:numId w:val="23"/>
        </w:numPr>
        <w:spacing w:line="259" w:lineRule="auto"/>
        <w:ind w:left="270" w:hanging="270"/>
        <w:rPr>
          <w:rFonts w:asciiTheme="majorHAnsi" w:hAnsiTheme="majorHAnsi"/>
        </w:rPr>
      </w:pPr>
      <w:r w:rsidRPr="00E024C4">
        <w:rPr>
          <w:rFonts w:asciiTheme="majorHAnsi" w:hAnsiTheme="majorHAnsi"/>
        </w:rPr>
        <w:t>Together with CryptofxForinvest trading system</w:t>
      </w:r>
      <w:r w:rsidR="00D406B3" w:rsidRPr="00E024C4">
        <w:rPr>
          <w:rFonts w:asciiTheme="majorHAnsi" w:hAnsiTheme="majorHAnsi"/>
        </w:rPr>
        <w:t>, the Sentiment indicator enables a</w:t>
      </w:r>
      <w:r w:rsidRPr="00E024C4">
        <w:rPr>
          <w:rFonts w:asciiTheme="majorHAnsi" w:hAnsiTheme="majorHAnsi"/>
        </w:rPr>
        <w:t xml:space="preserve"> sort of “System of Systems” that reduces risk </w:t>
      </w:r>
      <w:r w:rsidR="00D406B3" w:rsidRPr="00E024C4">
        <w:rPr>
          <w:rFonts w:asciiTheme="majorHAnsi" w:hAnsiTheme="majorHAnsi"/>
        </w:rPr>
        <w:t>while, at the same time, increasing</w:t>
      </w:r>
      <w:r w:rsidRPr="00E024C4">
        <w:rPr>
          <w:rFonts w:asciiTheme="majorHAnsi" w:hAnsiTheme="majorHAnsi"/>
        </w:rPr>
        <w:t xml:space="preserve"> performance.</w:t>
      </w:r>
    </w:p>
    <w:p w:rsidR="00851729" w:rsidRDefault="00851729" w:rsidP="00460C2C">
      <w:pPr>
        <w:rPr>
          <w:rFonts w:asciiTheme="majorHAnsi" w:hAnsiTheme="majorHAnsi"/>
          <w:sz w:val="28"/>
          <w:szCs w:val="28"/>
        </w:rPr>
      </w:pPr>
    </w:p>
    <w:p w:rsidR="009D2016" w:rsidRPr="00851729" w:rsidRDefault="00851729" w:rsidP="00460C2C">
      <w:pPr>
        <w:rPr>
          <w:rFonts w:asciiTheme="majorHAnsi" w:hAnsiTheme="majorHAnsi"/>
          <w:b/>
          <w:sz w:val="28"/>
          <w:szCs w:val="28"/>
        </w:rPr>
      </w:pPr>
      <w:r w:rsidRPr="00851729">
        <w:rPr>
          <w:rFonts w:asciiTheme="majorHAnsi" w:hAnsiTheme="majorHAnsi"/>
          <w:b/>
          <w:sz w:val="28"/>
          <w:szCs w:val="28"/>
        </w:rPr>
        <w:lastRenderedPageBreak/>
        <w:t>C</w:t>
      </w:r>
      <w:r w:rsidR="003E1D02">
        <w:rPr>
          <w:rFonts w:asciiTheme="majorHAnsi" w:hAnsiTheme="majorHAnsi"/>
          <w:b/>
          <w:sz w:val="28"/>
          <w:szCs w:val="28"/>
        </w:rPr>
        <w:t>rypto</w:t>
      </w:r>
      <w:r w:rsidRPr="00851729">
        <w:rPr>
          <w:rFonts w:asciiTheme="majorHAnsi" w:hAnsiTheme="majorHAnsi"/>
          <w:b/>
          <w:sz w:val="28"/>
          <w:szCs w:val="28"/>
        </w:rPr>
        <w:t>FXF</w:t>
      </w:r>
      <w:r w:rsidR="003E1D02">
        <w:rPr>
          <w:rFonts w:asciiTheme="majorHAnsi" w:hAnsiTheme="majorHAnsi"/>
          <w:b/>
          <w:sz w:val="28"/>
          <w:szCs w:val="28"/>
        </w:rPr>
        <w:t>orinvest</w:t>
      </w:r>
      <w:r w:rsidRPr="00851729">
        <w:rPr>
          <w:rFonts w:asciiTheme="majorHAnsi" w:hAnsiTheme="majorHAnsi"/>
          <w:b/>
          <w:sz w:val="28"/>
          <w:szCs w:val="28"/>
        </w:rPr>
        <w:t xml:space="preserve"> T</w:t>
      </w:r>
      <w:r w:rsidR="003E1D02">
        <w:rPr>
          <w:rFonts w:asciiTheme="majorHAnsi" w:hAnsiTheme="majorHAnsi"/>
          <w:b/>
          <w:sz w:val="28"/>
          <w:szCs w:val="28"/>
        </w:rPr>
        <w:t>rading</w:t>
      </w:r>
      <w:r w:rsidRPr="00851729">
        <w:rPr>
          <w:rFonts w:asciiTheme="majorHAnsi" w:hAnsiTheme="majorHAnsi"/>
          <w:b/>
          <w:sz w:val="28"/>
          <w:szCs w:val="28"/>
        </w:rPr>
        <w:t xml:space="preserve"> S</w:t>
      </w:r>
      <w:r w:rsidR="003E1D02">
        <w:rPr>
          <w:rFonts w:asciiTheme="majorHAnsi" w:hAnsiTheme="majorHAnsi"/>
          <w:b/>
          <w:sz w:val="28"/>
          <w:szCs w:val="28"/>
        </w:rPr>
        <w:t>ystem</w:t>
      </w:r>
    </w:p>
    <w:p w:rsidR="009D2016" w:rsidRPr="00E024C4" w:rsidRDefault="009D2016" w:rsidP="00460C2C">
      <w:pPr>
        <w:rPr>
          <w:rFonts w:asciiTheme="majorHAnsi" w:hAnsiTheme="majorHAnsi"/>
          <w:color w:val="000000" w:themeColor="text1"/>
          <w:sz w:val="14"/>
          <w:szCs w:val="28"/>
        </w:rPr>
      </w:pPr>
    </w:p>
    <w:p w:rsidR="00851729" w:rsidRPr="00E024C4" w:rsidRDefault="009D2016" w:rsidP="00460C2C">
      <w:pPr>
        <w:rPr>
          <w:rFonts w:asciiTheme="majorHAnsi" w:hAnsiTheme="majorHAnsi"/>
          <w:b/>
          <w:color w:val="000000" w:themeColor="text1"/>
        </w:rPr>
      </w:pPr>
      <w:r w:rsidRPr="00E024C4">
        <w:rPr>
          <w:rFonts w:asciiTheme="majorHAnsi" w:hAnsiTheme="majorHAnsi"/>
          <w:b/>
          <w:color w:val="000000" w:themeColor="text1"/>
        </w:rPr>
        <w:t xml:space="preserve">The System is based </w:t>
      </w:r>
      <w:r w:rsidR="00901CD7">
        <w:rPr>
          <w:rFonts w:asciiTheme="majorHAnsi" w:hAnsiTheme="majorHAnsi"/>
          <w:b/>
          <w:color w:val="000000" w:themeColor="text1"/>
        </w:rPr>
        <w:t>on an integration of</w:t>
      </w:r>
      <w:r w:rsidRPr="00E024C4">
        <w:rPr>
          <w:rFonts w:asciiTheme="majorHAnsi" w:hAnsiTheme="majorHAnsi"/>
          <w:b/>
          <w:color w:val="000000" w:themeColor="text1"/>
        </w:rPr>
        <w:t>:</w:t>
      </w:r>
    </w:p>
    <w:p w:rsidR="00851729" w:rsidRPr="00E024C4" w:rsidRDefault="009D2016" w:rsidP="00460C2C">
      <w:pPr>
        <w:pStyle w:val="Paragrafoelenco"/>
        <w:numPr>
          <w:ilvl w:val="0"/>
          <w:numId w:val="24"/>
        </w:numPr>
        <w:ind w:left="360"/>
        <w:rPr>
          <w:rFonts w:asciiTheme="majorHAnsi" w:hAnsiTheme="majorHAnsi" w:cs="Arial"/>
        </w:rPr>
      </w:pPr>
      <w:r w:rsidRPr="00E024C4">
        <w:rPr>
          <w:rFonts w:asciiTheme="majorHAnsi" w:hAnsiTheme="majorHAnsi" w:cs="Arial"/>
        </w:rPr>
        <w:t>B</w:t>
      </w:r>
      <w:r w:rsidR="000A112C" w:rsidRPr="00E024C4">
        <w:rPr>
          <w:rFonts w:asciiTheme="majorHAnsi" w:hAnsiTheme="majorHAnsi" w:cs="Arial"/>
        </w:rPr>
        <w:t xml:space="preserve">ig </w:t>
      </w:r>
      <w:r w:rsidRPr="00E024C4">
        <w:rPr>
          <w:rFonts w:asciiTheme="majorHAnsi" w:hAnsiTheme="majorHAnsi" w:cs="Arial"/>
        </w:rPr>
        <w:t>D</w:t>
      </w:r>
      <w:r w:rsidR="000A112C" w:rsidRPr="00E024C4">
        <w:rPr>
          <w:rFonts w:asciiTheme="majorHAnsi" w:hAnsiTheme="majorHAnsi" w:cs="Arial"/>
        </w:rPr>
        <w:t>ata</w:t>
      </w:r>
    </w:p>
    <w:p w:rsidR="00851729" w:rsidRPr="00E024C4" w:rsidRDefault="009D2016" w:rsidP="00460C2C">
      <w:pPr>
        <w:pStyle w:val="Paragrafoelenco"/>
        <w:numPr>
          <w:ilvl w:val="0"/>
          <w:numId w:val="24"/>
        </w:numPr>
        <w:ind w:left="360"/>
        <w:rPr>
          <w:rFonts w:asciiTheme="majorHAnsi" w:hAnsiTheme="majorHAnsi" w:cs="Arial"/>
        </w:rPr>
      </w:pPr>
      <w:r w:rsidRPr="00E024C4">
        <w:rPr>
          <w:rFonts w:asciiTheme="majorHAnsi" w:hAnsiTheme="majorHAnsi" w:cs="Arial"/>
        </w:rPr>
        <w:t>T</w:t>
      </w:r>
      <w:r w:rsidR="000A112C" w:rsidRPr="00E024C4">
        <w:rPr>
          <w:rFonts w:asciiTheme="majorHAnsi" w:hAnsiTheme="majorHAnsi" w:cs="Arial"/>
        </w:rPr>
        <w:t xml:space="preserve">oken </w:t>
      </w:r>
      <w:r w:rsidRPr="00E024C4">
        <w:rPr>
          <w:rFonts w:asciiTheme="majorHAnsi" w:hAnsiTheme="majorHAnsi" w:cs="Arial"/>
        </w:rPr>
        <w:t>S</w:t>
      </w:r>
      <w:r w:rsidR="000A112C" w:rsidRPr="00E024C4">
        <w:rPr>
          <w:rFonts w:asciiTheme="majorHAnsi" w:hAnsiTheme="majorHAnsi" w:cs="Arial"/>
        </w:rPr>
        <w:t>entiment</w:t>
      </w:r>
    </w:p>
    <w:p w:rsidR="00851729" w:rsidRPr="00E024C4" w:rsidRDefault="009D2016" w:rsidP="00460C2C">
      <w:pPr>
        <w:pStyle w:val="Paragrafoelenco"/>
        <w:numPr>
          <w:ilvl w:val="0"/>
          <w:numId w:val="24"/>
        </w:numPr>
        <w:ind w:left="360"/>
        <w:rPr>
          <w:rFonts w:asciiTheme="majorHAnsi" w:hAnsiTheme="majorHAnsi" w:cs="Arial"/>
        </w:rPr>
      </w:pPr>
      <w:r w:rsidRPr="00E024C4">
        <w:rPr>
          <w:rFonts w:asciiTheme="majorHAnsi" w:hAnsiTheme="majorHAnsi" w:cs="Arial"/>
        </w:rPr>
        <w:t>A</w:t>
      </w:r>
      <w:r w:rsidR="000A112C" w:rsidRPr="00E024C4">
        <w:rPr>
          <w:rFonts w:asciiTheme="majorHAnsi" w:hAnsiTheme="majorHAnsi" w:cs="Arial"/>
        </w:rPr>
        <w:t xml:space="preserve">rtificial </w:t>
      </w:r>
      <w:r w:rsidR="00D406B3" w:rsidRPr="00E024C4">
        <w:rPr>
          <w:rFonts w:asciiTheme="majorHAnsi" w:hAnsiTheme="majorHAnsi" w:cs="Arial"/>
        </w:rPr>
        <w:t>I</w:t>
      </w:r>
      <w:r w:rsidR="000A112C" w:rsidRPr="00E024C4">
        <w:rPr>
          <w:rFonts w:asciiTheme="majorHAnsi" w:hAnsiTheme="majorHAnsi" w:cs="Arial"/>
        </w:rPr>
        <w:t>ntelligence</w:t>
      </w:r>
      <w:r w:rsidR="00D406B3" w:rsidRPr="00E024C4">
        <w:rPr>
          <w:rFonts w:asciiTheme="majorHAnsi" w:hAnsiTheme="majorHAnsi" w:cs="Arial"/>
        </w:rPr>
        <w:t xml:space="preserve">: </w:t>
      </w:r>
      <w:r w:rsidRPr="00E024C4">
        <w:rPr>
          <w:rFonts w:asciiTheme="majorHAnsi" w:hAnsiTheme="majorHAnsi" w:cs="Arial"/>
        </w:rPr>
        <w:t>systems that “learn by themselves”</w:t>
      </w:r>
      <w:r w:rsidR="00D406B3" w:rsidRPr="00E024C4">
        <w:rPr>
          <w:rFonts w:asciiTheme="majorHAnsi" w:hAnsiTheme="majorHAnsi" w:cs="Arial"/>
        </w:rPr>
        <w:t xml:space="preserve">will be integrated with to increase efficiency and </w:t>
      </w:r>
      <w:r w:rsidR="00D406B3" w:rsidRPr="00E024C4">
        <w:rPr>
          <w:rFonts w:asciiTheme="majorHAnsi" w:hAnsiTheme="majorHAnsi" w:cs="Arial"/>
          <w:noProof/>
        </w:rPr>
        <w:t>ma</w:t>
      </w:r>
      <w:r w:rsidR="007E1942" w:rsidRPr="00E024C4">
        <w:rPr>
          <w:rFonts w:asciiTheme="majorHAnsi" w:hAnsiTheme="majorHAnsi" w:cs="Arial"/>
          <w:noProof/>
        </w:rPr>
        <w:t>i</w:t>
      </w:r>
      <w:r w:rsidR="00D406B3" w:rsidRPr="00E024C4">
        <w:rPr>
          <w:rFonts w:asciiTheme="majorHAnsi" w:hAnsiTheme="majorHAnsi" w:cs="Arial"/>
          <w:noProof/>
        </w:rPr>
        <w:t>ntain</w:t>
      </w:r>
      <w:r w:rsidR="00D406B3" w:rsidRPr="00E024C4">
        <w:rPr>
          <w:rFonts w:asciiTheme="majorHAnsi" w:hAnsiTheme="majorHAnsi" w:cs="Arial"/>
        </w:rPr>
        <w:t xml:space="preserve"> drawdown risk to a minimum.</w:t>
      </w:r>
    </w:p>
    <w:p w:rsidR="009D2016" w:rsidRPr="00E024C4" w:rsidRDefault="009D2016" w:rsidP="00460C2C">
      <w:pPr>
        <w:pStyle w:val="Paragrafoelenco"/>
        <w:numPr>
          <w:ilvl w:val="0"/>
          <w:numId w:val="22"/>
        </w:numPr>
        <w:ind w:left="630" w:hanging="270"/>
        <w:rPr>
          <w:rFonts w:asciiTheme="majorHAnsi" w:hAnsiTheme="majorHAnsi" w:cs="Arial"/>
        </w:rPr>
      </w:pPr>
      <w:r w:rsidRPr="00E024C4">
        <w:rPr>
          <w:rFonts w:asciiTheme="majorHAnsi" w:hAnsiTheme="majorHAnsi" w:cs="Arial"/>
        </w:rPr>
        <w:t>R</w:t>
      </w:r>
      <w:r w:rsidR="000A112C" w:rsidRPr="00E024C4">
        <w:rPr>
          <w:rFonts w:asciiTheme="majorHAnsi" w:hAnsiTheme="majorHAnsi" w:cs="Arial"/>
        </w:rPr>
        <w:t>obots</w:t>
      </w:r>
      <w:r w:rsidRPr="00E024C4">
        <w:rPr>
          <w:rFonts w:asciiTheme="majorHAnsi" w:hAnsiTheme="majorHAnsi" w:cs="Arial"/>
        </w:rPr>
        <w:t>: these read trend signals and operative levels generated by the AI Engine and find out the best strategy to follow.</w:t>
      </w:r>
    </w:p>
    <w:p w:rsidR="00B50DB3" w:rsidRDefault="009D2016" w:rsidP="00460C2C">
      <w:pPr>
        <w:pStyle w:val="Paragrafoelenco"/>
        <w:numPr>
          <w:ilvl w:val="0"/>
          <w:numId w:val="22"/>
        </w:numPr>
        <w:ind w:left="630" w:hanging="270"/>
        <w:rPr>
          <w:rFonts w:asciiTheme="majorHAnsi" w:hAnsiTheme="majorHAnsi" w:cs="Arial"/>
        </w:rPr>
      </w:pPr>
      <w:r w:rsidRPr="00F730AD">
        <w:rPr>
          <w:rFonts w:asciiTheme="majorHAnsi" w:hAnsiTheme="majorHAnsi" w:cs="Arial"/>
          <w:noProof/>
        </w:rPr>
        <w:t>A</w:t>
      </w:r>
      <w:r w:rsidR="000A112C" w:rsidRPr="00F730AD">
        <w:rPr>
          <w:rFonts w:asciiTheme="majorHAnsi" w:hAnsiTheme="majorHAnsi" w:cs="Arial"/>
          <w:noProof/>
        </w:rPr>
        <w:t>utotraders</w:t>
      </w:r>
      <w:r w:rsidRPr="00E024C4">
        <w:rPr>
          <w:rFonts w:asciiTheme="majorHAnsi" w:hAnsiTheme="majorHAnsi" w:cs="Arial"/>
        </w:rPr>
        <w:t xml:space="preserve">: under </w:t>
      </w:r>
      <w:r w:rsidRPr="00E024C4">
        <w:rPr>
          <w:rFonts w:asciiTheme="majorHAnsi" w:hAnsiTheme="majorHAnsi" w:cs="Arial"/>
          <w:noProof/>
        </w:rPr>
        <w:t>continuo</w:t>
      </w:r>
      <w:r w:rsidR="007E1942" w:rsidRPr="00E024C4">
        <w:rPr>
          <w:rFonts w:asciiTheme="majorHAnsi" w:hAnsiTheme="majorHAnsi" w:cs="Arial"/>
          <w:noProof/>
        </w:rPr>
        <w:t>u</w:t>
      </w:r>
      <w:r w:rsidRPr="00E024C4">
        <w:rPr>
          <w:rFonts w:asciiTheme="majorHAnsi" w:hAnsiTheme="majorHAnsi" w:cs="Arial"/>
          <w:noProof/>
        </w:rPr>
        <w:t>s</w:t>
      </w:r>
      <w:r w:rsidRPr="00E024C4">
        <w:rPr>
          <w:rFonts w:asciiTheme="majorHAnsi" w:hAnsiTheme="majorHAnsi" w:cs="Arial"/>
        </w:rPr>
        <w:t xml:space="preserve"> control and direction from expert traders, Robots strategies transform in buy and </w:t>
      </w:r>
      <w:r w:rsidRPr="00F730AD">
        <w:rPr>
          <w:rFonts w:asciiTheme="majorHAnsi" w:hAnsiTheme="majorHAnsi" w:cs="Arial"/>
          <w:noProof/>
        </w:rPr>
        <w:t>sellorders</w:t>
      </w:r>
      <w:r w:rsidRPr="00E024C4">
        <w:rPr>
          <w:rFonts w:asciiTheme="majorHAnsi" w:hAnsiTheme="majorHAnsi" w:cs="Arial"/>
        </w:rPr>
        <w:t xml:space="preserve"> on Stock Exchange; Currency; Futures; Precious Metals.</w:t>
      </w:r>
      <w:r w:rsidR="003B268E">
        <w:rPr>
          <w:rFonts w:asciiTheme="majorHAnsi" w:hAnsiTheme="majorHAnsi" w:cs="Arial"/>
        </w:rPr>
        <w:br/>
      </w:r>
    </w:p>
    <w:p w:rsidR="0046569D" w:rsidRPr="0046569D" w:rsidRDefault="0046569D" w:rsidP="00682692">
      <w:pPr>
        <w:jc w:val="center"/>
        <w:rPr>
          <w:rFonts w:asciiTheme="majorHAnsi" w:hAnsiTheme="majorHAnsi" w:cs="Arial"/>
        </w:rPr>
      </w:pPr>
      <w:r>
        <w:rPr>
          <w:rFonts w:asciiTheme="majorHAnsi" w:hAnsiTheme="majorHAnsi" w:cs="Arial"/>
          <w:noProof/>
          <w:lang w:val="en-US" w:eastAsia="en-US"/>
        </w:rPr>
        <w:drawing>
          <wp:inline distT="0" distB="0" distL="0" distR="0">
            <wp:extent cx="5943600" cy="36150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FX-tokenomics-72px.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615055"/>
                    </a:xfrm>
                    <a:prstGeom prst="rect">
                      <a:avLst/>
                    </a:prstGeom>
                  </pic:spPr>
                </pic:pic>
              </a:graphicData>
            </a:graphic>
          </wp:inline>
        </w:drawing>
      </w:r>
    </w:p>
    <w:p w:rsidR="009D2016" w:rsidRPr="00E024C4" w:rsidRDefault="009D2016" w:rsidP="00460C2C">
      <w:pPr>
        <w:rPr>
          <w:rFonts w:asciiTheme="majorHAnsi" w:hAnsiTheme="majorHAnsi"/>
        </w:rPr>
      </w:pPr>
    </w:p>
    <w:p w:rsidR="009D2016" w:rsidRPr="00E024C4" w:rsidRDefault="009D2016" w:rsidP="00460C2C">
      <w:pPr>
        <w:rPr>
          <w:rFonts w:asciiTheme="majorHAnsi" w:hAnsiTheme="majorHAnsi"/>
          <w:b/>
        </w:rPr>
      </w:pPr>
      <w:r w:rsidRPr="00E024C4">
        <w:rPr>
          <w:rFonts w:asciiTheme="majorHAnsi" w:hAnsiTheme="majorHAnsi"/>
          <w:b/>
        </w:rPr>
        <w:t>S</w:t>
      </w:r>
      <w:r w:rsidR="000A112C" w:rsidRPr="00E024C4">
        <w:rPr>
          <w:rFonts w:asciiTheme="majorHAnsi" w:hAnsiTheme="majorHAnsi"/>
          <w:b/>
        </w:rPr>
        <w:t xml:space="preserve">entiment </w:t>
      </w:r>
      <w:r w:rsidRPr="00E024C4">
        <w:rPr>
          <w:rFonts w:asciiTheme="majorHAnsi" w:hAnsiTheme="majorHAnsi"/>
          <w:b/>
        </w:rPr>
        <w:t>B</w:t>
      </w:r>
      <w:r w:rsidR="000A112C" w:rsidRPr="00E024C4">
        <w:rPr>
          <w:rFonts w:asciiTheme="majorHAnsi" w:hAnsiTheme="majorHAnsi"/>
          <w:b/>
        </w:rPr>
        <w:t xml:space="preserve">onus </w:t>
      </w:r>
      <w:r w:rsidRPr="00E024C4">
        <w:rPr>
          <w:rFonts w:asciiTheme="majorHAnsi" w:hAnsiTheme="majorHAnsi"/>
          <w:b/>
        </w:rPr>
        <w:t>R</w:t>
      </w:r>
      <w:r w:rsidR="000A112C" w:rsidRPr="00E024C4">
        <w:rPr>
          <w:rFonts w:asciiTheme="majorHAnsi" w:hAnsiTheme="majorHAnsi"/>
          <w:b/>
        </w:rPr>
        <w:t>eward for</w:t>
      </w:r>
      <w:r w:rsidRPr="00E024C4">
        <w:rPr>
          <w:rFonts w:asciiTheme="majorHAnsi" w:hAnsiTheme="majorHAnsi"/>
          <w:b/>
        </w:rPr>
        <w:t xml:space="preserve"> CFX T</w:t>
      </w:r>
      <w:r w:rsidR="000A112C" w:rsidRPr="00E024C4">
        <w:rPr>
          <w:rFonts w:asciiTheme="majorHAnsi" w:hAnsiTheme="majorHAnsi"/>
          <w:b/>
        </w:rPr>
        <w:t>oken</w:t>
      </w:r>
    </w:p>
    <w:p w:rsidR="00851729" w:rsidRPr="00E024C4" w:rsidRDefault="009D2016" w:rsidP="00460C2C">
      <w:pPr>
        <w:pStyle w:val="Paragrafoelenco"/>
        <w:numPr>
          <w:ilvl w:val="0"/>
          <w:numId w:val="25"/>
        </w:numPr>
        <w:rPr>
          <w:rFonts w:asciiTheme="majorHAnsi" w:hAnsiTheme="majorHAnsi"/>
        </w:rPr>
      </w:pPr>
      <w:r w:rsidRPr="00E024C4">
        <w:rPr>
          <w:rFonts w:asciiTheme="majorHAnsi" w:hAnsiTheme="majorHAnsi"/>
        </w:rPr>
        <w:t>CFX Token owners will insert their Sentiment on markets with a fast and easy to use App on their phones</w:t>
      </w:r>
      <w:r w:rsidR="00ED7088" w:rsidRPr="00E024C4">
        <w:rPr>
          <w:rFonts w:asciiTheme="majorHAnsi" w:hAnsiTheme="majorHAnsi"/>
        </w:rPr>
        <w:t>, an</w:t>
      </w:r>
      <w:r w:rsidRPr="00E024C4">
        <w:rPr>
          <w:rFonts w:asciiTheme="majorHAnsi" w:hAnsiTheme="majorHAnsi"/>
        </w:rPr>
        <w:t>swer</w:t>
      </w:r>
      <w:r w:rsidR="00ED7088" w:rsidRPr="00E024C4">
        <w:rPr>
          <w:rFonts w:asciiTheme="majorHAnsi" w:hAnsiTheme="majorHAnsi"/>
        </w:rPr>
        <w:t>ing</w:t>
      </w:r>
      <w:r w:rsidRPr="00E024C4">
        <w:rPr>
          <w:rFonts w:asciiTheme="majorHAnsi" w:hAnsiTheme="majorHAnsi"/>
        </w:rPr>
        <w:t xml:space="preserve"> (Yes; No; Not sure) to simple questions on markets</w:t>
      </w:r>
      <w:r w:rsidR="00ED7088" w:rsidRPr="00E024C4">
        <w:rPr>
          <w:rFonts w:asciiTheme="majorHAnsi" w:hAnsiTheme="majorHAnsi"/>
        </w:rPr>
        <w:t>.</w:t>
      </w:r>
    </w:p>
    <w:p w:rsidR="00E024C4" w:rsidRPr="00901CD7" w:rsidRDefault="00ED7088" w:rsidP="00460C2C">
      <w:pPr>
        <w:pStyle w:val="Paragrafoelenco"/>
        <w:numPr>
          <w:ilvl w:val="0"/>
          <w:numId w:val="25"/>
        </w:numPr>
        <w:rPr>
          <w:rFonts w:asciiTheme="majorHAnsi" w:hAnsiTheme="majorHAnsi"/>
          <w:sz w:val="28"/>
          <w:szCs w:val="28"/>
        </w:rPr>
      </w:pPr>
      <w:r w:rsidRPr="00E024C4">
        <w:rPr>
          <w:rFonts w:asciiTheme="majorHAnsi" w:hAnsiTheme="majorHAnsi"/>
        </w:rPr>
        <w:t xml:space="preserve">Every owner that </w:t>
      </w:r>
      <w:r w:rsidR="009D2016" w:rsidRPr="00F730AD">
        <w:rPr>
          <w:rFonts w:asciiTheme="majorHAnsi" w:hAnsiTheme="majorHAnsi"/>
          <w:noProof/>
        </w:rPr>
        <w:t>contribute</w:t>
      </w:r>
      <w:r w:rsidRPr="00F730AD">
        <w:rPr>
          <w:rFonts w:asciiTheme="majorHAnsi" w:hAnsiTheme="majorHAnsi"/>
          <w:noProof/>
        </w:rPr>
        <w:t>s</w:t>
      </w:r>
      <w:r w:rsidR="00F730AD" w:rsidRPr="00F730AD">
        <w:rPr>
          <w:rFonts w:asciiTheme="majorHAnsi" w:hAnsiTheme="majorHAnsi"/>
          <w:noProof/>
        </w:rPr>
        <w:t xml:space="preserve"> </w:t>
      </w:r>
      <w:r w:rsidRPr="00F730AD">
        <w:rPr>
          <w:rFonts w:asciiTheme="majorHAnsi" w:hAnsiTheme="majorHAnsi"/>
          <w:noProof/>
        </w:rPr>
        <w:t>sentiment</w:t>
      </w:r>
      <w:r w:rsidRPr="00E024C4">
        <w:rPr>
          <w:rFonts w:asciiTheme="majorHAnsi" w:hAnsiTheme="majorHAnsi"/>
        </w:rPr>
        <w:t xml:space="preserve"> </w:t>
      </w:r>
      <w:r w:rsidR="009D2016" w:rsidRPr="00E024C4">
        <w:rPr>
          <w:rFonts w:asciiTheme="majorHAnsi" w:hAnsiTheme="majorHAnsi"/>
        </w:rPr>
        <w:t xml:space="preserve">for at least 3 </w:t>
      </w:r>
      <w:r w:rsidR="009D2016" w:rsidRPr="00F730AD">
        <w:rPr>
          <w:rFonts w:asciiTheme="majorHAnsi" w:hAnsiTheme="majorHAnsi"/>
          <w:noProof/>
        </w:rPr>
        <w:t>months</w:t>
      </w:r>
      <w:r w:rsidR="00F730AD">
        <w:rPr>
          <w:rFonts w:asciiTheme="majorHAnsi" w:hAnsiTheme="majorHAnsi"/>
          <w:noProof/>
        </w:rPr>
        <w:t xml:space="preserve"> </w:t>
      </w:r>
      <w:r w:rsidR="009D2016" w:rsidRPr="00F730AD">
        <w:rPr>
          <w:rFonts w:asciiTheme="majorHAnsi" w:hAnsiTheme="majorHAnsi"/>
          <w:noProof/>
        </w:rPr>
        <w:t>will</w:t>
      </w:r>
      <w:r w:rsidR="009D2016" w:rsidRPr="00E024C4">
        <w:rPr>
          <w:rFonts w:asciiTheme="majorHAnsi" w:hAnsiTheme="majorHAnsi"/>
        </w:rPr>
        <w:t xml:space="preserve"> receive a Bonus in CFX Tokens for the contribution offered.</w:t>
      </w:r>
    </w:p>
    <w:p w:rsidR="000F4EA8" w:rsidRPr="00901CD7" w:rsidRDefault="00FE2D47" w:rsidP="00460C2C">
      <w:pPr>
        <w:pStyle w:val="Titolo2"/>
        <w:rPr>
          <w:rFonts w:ascii="Franklin Gothic Demi" w:eastAsia="Times New Roman" w:hAnsi="Franklin Gothic Demi" w:cs="Times New Roman"/>
          <w:b w:val="0"/>
          <w:bCs w:val="0"/>
          <w:iCs w:val="0"/>
          <w:color w:val="018BB3"/>
          <w:spacing w:val="26"/>
          <w:szCs w:val="36"/>
        </w:rPr>
      </w:pPr>
      <w:bookmarkStart w:id="13" w:name="_Toc523439984"/>
      <w:r w:rsidRPr="003C15AA">
        <w:rPr>
          <w:rFonts w:ascii="Franklin Gothic Demi" w:eastAsia="Times New Roman" w:hAnsi="Franklin Gothic Demi" w:cs="Times New Roman"/>
          <w:b w:val="0"/>
          <w:bCs w:val="0"/>
          <w:iCs w:val="0"/>
          <w:color w:val="018BB3"/>
          <w:spacing w:val="26"/>
          <w:szCs w:val="36"/>
        </w:rPr>
        <w:lastRenderedPageBreak/>
        <w:t>Issuer Details</w:t>
      </w:r>
      <w:bookmarkEnd w:id="13"/>
    </w:p>
    <w:p w:rsidR="00501222" w:rsidRDefault="00FE2D47" w:rsidP="00460C2C">
      <w:pPr>
        <w:spacing w:line="259" w:lineRule="auto"/>
        <w:rPr>
          <w:rFonts w:asciiTheme="majorHAnsi" w:hAnsiTheme="majorHAnsi"/>
        </w:rPr>
      </w:pPr>
      <w:r w:rsidRPr="00F473A3">
        <w:rPr>
          <w:rFonts w:asciiTheme="majorHAnsi" w:hAnsiTheme="majorHAnsi"/>
          <w:b/>
        </w:rPr>
        <w:t>Name</w:t>
      </w:r>
      <w:r w:rsidRPr="00F473A3">
        <w:rPr>
          <w:rFonts w:asciiTheme="majorHAnsi" w:hAnsiTheme="majorHAnsi"/>
        </w:rPr>
        <w:t>: CFX CryptoFXForinvest Ltd.</w:t>
      </w:r>
    </w:p>
    <w:p w:rsidR="00501222" w:rsidRDefault="00501222" w:rsidP="00460C2C">
      <w:pPr>
        <w:spacing w:line="259" w:lineRule="auto"/>
        <w:rPr>
          <w:rFonts w:asciiTheme="majorHAnsi" w:hAnsiTheme="majorHAnsi"/>
          <w:b/>
        </w:rPr>
      </w:pPr>
    </w:p>
    <w:p w:rsidR="00501222" w:rsidRDefault="00FE2D47" w:rsidP="00460C2C">
      <w:pPr>
        <w:spacing w:line="259" w:lineRule="auto"/>
        <w:rPr>
          <w:rFonts w:asciiTheme="majorHAnsi" w:hAnsiTheme="majorHAnsi"/>
        </w:rPr>
      </w:pPr>
      <w:r w:rsidRPr="00F473A3">
        <w:rPr>
          <w:rFonts w:asciiTheme="majorHAnsi" w:hAnsiTheme="majorHAnsi"/>
          <w:b/>
        </w:rPr>
        <w:t>Registered address and registration number</w:t>
      </w:r>
      <w:r w:rsidRPr="00F473A3">
        <w:rPr>
          <w:rFonts w:asciiTheme="majorHAnsi" w:hAnsiTheme="majorHAnsi"/>
        </w:rPr>
        <w:t>:</w:t>
      </w:r>
      <w:r w:rsidR="00F473A3" w:rsidRPr="00F473A3">
        <w:rPr>
          <w:rFonts w:asciiTheme="majorHAnsi" w:hAnsiTheme="majorHAnsi"/>
        </w:rPr>
        <w:t xml:space="preserve"> </w:t>
      </w:r>
    </w:p>
    <w:p w:rsidR="00501222" w:rsidRDefault="00F473A3" w:rsidP="00460C2C">
      <w:pPr>
        <w:spacing w:line="259" w:lineRule="auto"/>
        <w:rPr>
          <w:rFonts w:asciiTheme="majorHAnsi" w:hAnsiTheme="majorHAnsi"/>
        </w:rPr>
      </w:pPr>
      <w:r w:rsidRPr="00F473A3">
        <w:rPr>
          <w:rFonts w:asciiTheme="majorHAnsi" w:hAnsiTheme="majorHAnsi"/>
        </w:rPr>
        <w:t>CFX Advance Ltd, Vault 14, level 2, Valletta Waterfront, FRN 1914 Floriana, MT</w:t>
      </w:r>
    </w:p>
    <w:p w:rsidR="00FE2D47" w:rsidRPr="00F473A3" w:rsidRDefault="00FE2D47" w:rsidP="00460C2C">
      <w:pPr>
        <w:spacing w:line="259" w:lineRule="auto"/>
        <w:rPr>
          <w:rFonts w:asciiTheme="majorHAnsi" w:hAnsiTheme="majorHAnsi"/>
        </w:rPr>
      </w:pPr>
    </w:p>
    <w:p w:rsidR="00501222" w:rsidRDefault="00FE2D47" w:rsidP="00460C2C">
      <w:pPr>
        <w:spacing w:line="259" w:lineRule="auto"/>
        <w:rPr>
          <w:rFonts w:asciiTheme="majorHAnsi" w:hAnsiTheme="majorHAnsi"/>
          <w:color w:val="FF0000"/>
        </w:rPr>
      </w:pPr>
      <w:r w:rsidRPr="00F473A3">
        <w:rPr>
          <w:rFonts w:asciiTheme="majorHAnsi" w:hAnsiTheme="majorHAnsi"/>
          <w:b/>
        </w:rPr>
        <w:t>Date of registration</w:t>
      </w:r>
      <w:r w:rsidRPr="00F473A3">
        <w:rPr>
          <w:rFonts w:asciiTheme="majorHAnsi" w:hAnsiTheme="majorHAnsi"/>
        </w:rPr>
        <w:t>:</w:t>
      </w:r>
      <w:r w:rsidR="00F473A3" w:rsidRPr="00F473A3">
        <w:rPr>
          <w:rFonts w:asciiTheme="majorHAnsi" w:hAnsiTheme="majorHAnsi"/>
        </w:rPr>
        <w:t xml:space="preserve"> </w:t>
      </w:r>
      <w:r w:rsidR="003E1D02">
        <w:rPr>
          <w:rFonts w:asciiTheme="majorHAnsi" w:hAnsiTheme="majorHAnsi"/>
          <w:color w:val="FF0000"/>
        </w:rPr>
        <w:t>TBD</w:t>
      </w:r>
    </w:p>
    <w:p w:rsidR="0046569D" w:rsidRPr="00F473A3" w:rsidRDefault="0046569D" w:rsidP="00460C2C">
      <w:pPr>
        <w:spacing w:line="259" w:lineRule="auto"/>
        <w:rPr>
          <w:rFonts w:asciiTheme="majorHAnsi" w:hAnsiTheme="majorHAnsi"/>
        </w:rPr>
      </w:pPr>
    </w:p>
    <w:p w:rsidR="00F473A3" w:rsidRPr="00F473A3" w:rsidRDefault="00F473A3" w:rsidP="00460C2C">
      <w:pPr>
        <w:spacing w:line="259" w:lineRule="auto"/>
        <w:rPr>
          <w:rFonts w:asciiTheme="majorHAnsi" w:hAnsiTheme="majorHAnsi"/>
        </w:rPr>
      </w:pPr>
      <w:r w:rsidRPr="00F473A3">
        <w:rPr>
          <w:rFonts w:asciiTheme="majorHAnsi" w:hAnsiTheme="majorHAnsi"/>
          <w:b/>
        </w:rPr>
        <w:t>Object</w:t>
      </w:r>
      <w:r w:rsidR="00FE2D47" w:rsidRPr="00F473A3">
        <w:rPr>
          <w:rFonts w:asciiTheme="majorHAnsi" w:hAnsiTheme="majorHAnsi"/>
          <w:b/>
        </w:rPr>
        <w:t>s</w:t>
      </w:r>
      <w:r w:rsidR="002E7E90">
        <w:rPr>
          <w:rFonts w:asciiTheme="majorHAnsi" w:hAnsiTheme="majorHAnsi"/>
          <w:b/>
        </w:rPr>
        <w:t>:</w:t>
      </w:r>
    </w:p>
    <w:p w:rsidR="00F473A3" w:rsidRPr="00F473A3" w:rsidRDefault="00F473A3" w:rsidP="00460C2C">
      <w:pPr>
        <w:numPr>
          <w:ilvl w:val="1"/>
          <w:numId w:val="28"/>
        </w:numPr>
        <w:ind w:left="338" w:right="7" w:hanging="360"/>
        <w:rPr>
          <w:rFonts w:asciiTheme="majorHAnsi" w:hAnsiTheme="majorHAnsi"/>
        </w:rPr>
      </w:pPr>
      <w:r w:rsidRPr="00F473A3">
        <w:rPr>
          <w:rFonts w:asciiTheme="majorHAnsi" w:hAnsiTheme="majorHAnsi"/>
        </w:rPr>
        <w:t>To develop and exploit blockchain related software and databases and to grant licenses thereon worldwide.</w:t>
      </w:r>
    </w:p>
    <w:p w:rsidR="00F473A3" w:rsidRPr="00F473A3" w:rsidRDefault="00F473A3" w:rsidP="00460C2C">
      <w:pPr>
        <w:numPr>
          <w:ilvl w:val="1"/>
          <w:numId w:val="28"/>
        </w:numPr>
        <w:ind w:left="338" w:right="7" w:hanging="360"/>
        <w:rPr>
          <w:rFonts w:asciiTheme="majorHAnsi" w:hAnsiTheme="majorHAnsi"/>
        </w:rPr>
      </w:pPr>
      <w:r w:rsidRPr="00F473A3">
        <w:rPr>
          <w:rFonts w:asciiTheme="majorHAnsi" w:hAnsiTheme="majorHAnsi"/>
        </w:rPr>
        <w:t>To purchase or otherwise acquire, under any title whatsoever, all types of property, movable or immovable, corporeal or incorporeal, or any interest therein, by any tenure or title, and to hold, improve, develop, construct, enlarge, extend, alter, maintain, transfer, sell, convey or otherwise dispose of such property or any interest therein, as shall from time to time be expedient or necessary.</w:t>
      </w:r>
    </w:p>
    <w:p w:rsidR="00F473A3" w:rsidRPr="00F473A3" w:rsidRDefault="00F473A3" w:rsidP="00460C2C">
      <w:pPr>
        <w:numPr>
          <w:ilvl w:val="1"/>
          <w:numId w:val="28"/>
        </w:numPr>
        <w:ind w:left="338" w:right="7" w:hanging="360"/>
        <w:rPr>
          <w:rFonts w:asciiTheme="majorHAnsi" w:hAnsiTheme="majorHAnsi"/>
        </w:rPr>
      </w:pPr>
      <w:r w:rsidRPr="00F473A3">
        <w:rPr>
          <w:rFonts w:asciiTheme="majorHAnsi" w:hAnsiTheme="majorHAnsi"/>
        </w:rPr>
        <w:t>To carry on any other business which may seem to the company capable of being conveniently carried on, and which is directly or indirectly related to its business or ancillary thereto.</w:t>
      </w:r>
    </w:p>
    <w:p w:rsidR="00F473A3" w:rsidRPr="00F473A3" w:rsidRDefault="00F473A3" w:rsidP="00460C2C">
      <w:pPr>
        <w:numPr>
          <w:ilvl w:val="1"/>
          <w:numId w:val="28"/>
        </w:numPr>
        <w:ind w:left="338" w:right="7" w:hanging="360"/>
        <w:rPr>
          <w:rFonts w:asciiTheme="majorHAnsi" w:hAnsiTheme="majorHAnsi"/>
        </w:rPr>
      </w:pPr>
      <w:r w:rsidRPr="00F473A3">
        <w:rPr>
          <w:rFonts w:asciiTheme="majorHAnsi" w:hAnsiTheme="majorHAnsi"/>
        </w:rPr>
        <w:t>In furtherance of the company's objects as aforesaid, the company is also empowered to carry out the following:</w:t>
      </w:r>
    </w:p>
    <w:p w:rsidR="00F473A3" w:rsidRPr="00F473A3" w:rsidRDefault="00F473A3" w:rsidP="00460C2C">
      <w:pPr>
        <w:ind w:left="630" w:right="360" w:hanging="324"/>
        <w:rPr>
          <w:rFonts w:asciiTheme="majorHAnsi" w:hAnsiTheme="majorHAnsi"/>
        </w:rPr>
      </w:pPr>
      <w:r w:rsidRPr="00F473A3">
        <w:rPr>
          <w:rFonts w:asciiTheme="majorHAnsi" w:hAnsiTheme="majorHAnsi"/>
          <w:noProof/>
          <w:lang w:val="en-US" w:eastAsia="en-US"/>
        </w:rPr>
        <w:drawing>
          <wp:inline distT="0" distB="0" distL="0" distR="0" wp14:anchorId="05CDC2A3" wp14:editId="41B0A3D5">
            <wp:extent cx="96012" cy="114300"/>
            <wp:effectExtent l="0" t="0" r="0" b="0"/>
            <wp:docPr id="14483" name="Picture 14483"/>
            <wp:cNvGraphicFramePr/>
            <a:graphic xmlns:a="http://schemas.openxmlformats.org/drawingml/2006/main">
              <a:graphicData uri="http://schemas.openxmlformats.org/drawingml/2006/picture">
                <pic:pic xmlns:pic="http://schemas.openxmlformats.org/drawingml/2006/picture">
                  <pic:nvPicPr>
                    <pic:cNvPr id="14483" name="Picture 14483"/>
                    <pic:cNvPicPr/>
                  </pic:nvPicPr>
                  <pic:blipFill>
                    <a:blip r:embed="rId11"/>
                    <a:stretch>
                      <a:fillRect/>
                    </a:stretch>
                  </pic:blipFill>
                  <pic:spPr>
                    <a:xfrm>
                      <a:off x="0" y="0"/>
                      <a:ext cx="96012" cy="114300"/>
                    </a:xfrm>
                    <a:prstGeom prst="rect">
                      <a:avLst/>
                    </a:prstGeom>
                  </pic:spPr>
                </pic:pic>
              </a:graphicData>
            </a:graphic>
          </wp:inline>
        </w:drawing>
      </w:r>
      <w:r w:rsidRPr="00F473A3">
        <w:rPr>
          <w:rFonts w:asciiTheme="majorHAnsi" w:hAnsiTheme="majorHAnsi"/>
        </w:rPr>
        <w:t xml:space="preserve"> To lend or advance money, with or without security, only where necessary and as may be required in connection with the company’s business.</w:t>
      </w:r>
    </w:p>
    <w:p w:rsidR="00F473A3" w:rsidRPr="00F473A3" w:rsidRDefault="00F473A3" w:rsidP="00460C2C">
      <w:pPr>
        <w:ind w:left="630" w:right="367" w:hanging="324"/>
        <w:rPr>
          <w:rFonts w:asciiTheme="majorHAnsi" w:hAnsiTheme="majorHAnsi"/>
        </w:rPr>
      </w:pPr>
      <w:r w:rsidRPr="00F473A3">
        <w:rPr>
          <w:rFonts w:asciiTheme="majorHAnsi" w:hAnsiTheme="majorHAnsi"/>
          <w:noProof/>
          <w:lang w:val="en-US" w:eastAsia="en-US"/>
        </w:rPr>
        <w:drawing>
          <wp:inline distT="0" distB="0" distL="0" distR="0" wp14:anchorId="3089FA32" wp14:editId="38502582">
            <wp:extent cx="123444" cy="114300"/>
            <wp:effectExtent l="0" t="0" r="0" b="0"/>
            <wp:docPr id="14485" name="Picture 14485"/>
            <wp:cNvGraphicFramePr/>
            <a:graphic xmlns:a="http://schemas.openxmlformats.org/drawingml/2006/main">
              <a:graphicData uri="http://schemas.openxmlformats.org/drawingml/2006/picture">
                <pic:pic xmlns:pic="http://schemas.openxmlformats.org/drawingml/2006/picture">
                  <pic:nvPicPr>
                    <pic:cNvPr id="14485" name="Picture 14485"/>
                    <pic:cNvPicPr/>
                  </pic:nvPicPr>
                  <pic:blipFill>
                    <a:blip r:embed="rId12"/>
                    <a:stretch>
                      <a:fillRect/>
                    </a:stretch>
                  </pic:blipFill>
                  <pic:spPr>
                    <a:xfrm>
                      <a:off x="0" y="0"/>
                      <a:ext cx="123444" cy="114300"/>
                    </a:xfrm>
                    <a:prstGeom prst="rect">
                      <a:avLst/>
                    </a:prstGeom>
                  </pic:spPr>
                </pic:pic>
              </a:graphicData>
            </a:graphic>
          </wp:inline>
        </w:drawing>
      </w:r>
      <w:r w:rsidRPr="00F473A3">
        <w:rPr>
          <w:rFonts w:asciiTheme="majorHAnsi" w:hAnsiTheme="majorHAnsi"/>
        </w:rPr>
        <w:t xml:space="preserve"> To undertake, enter into, fulfill, and otherwise perform all types of agreements and contracts which the company may deem necessary in furtherance of the business of the company.</w:t>
      </w:r>
    </w:p>
    <w:p w:rsidR="00F473A3" w:rsidRPr="00F473A3" w:rsidRDefault="00F473A3" w:rsidP="00460C2C">
      <w:pPr>
        <w:ind w:left="630" w:right="79" w:hanging="324"/>
        <w:rPr>
          <w:rFonts w:asciiTheme="majorHAnsi" w:hAnsiTheme="majorHAnsi"/>
        </w:rPr>
      </w:pPr>
      <w:r w:rsidRPr="00F473A3">
        <w:rPr>
          <w:rFonts w:asciiTheme="majorHAnsi" w:hAnsiTheme="majorHAnsi"/>
          <w:noProof/>
          <w:lang w:val="en-US" w:eastAsia="en-US"/>
        </w:rPr>
        <w:drawing>
          <wp:inline distT="0" distB="0" distL="0" distR="0" wp14:anchorId="75BBC1CB" wp14:editId="3F067338">
            <wp:extent cx="155448" cy="114300"/>
            <wp:effectExtent l="0" t="0" r="0" b="0"/>
            <wp:docPr id="14487" name="Picture 14487"/>
            <wp:cNvGraphicFramePr/>
            <a:graphic xmlns:a="http://schemas.openxmlformats.org/drawingml/2006/main">
              <a:graphicData uri="http://schemas.openxmlformats.org/drawingml/2006/picture">
                <pic:pic xmlns:pic="http://schemas.openxmlformats.org/drawingml/2006/picture">
                  <pic:nvPicPr>
                    <pic:cNvPr id="14487" name="Picture 14487"/>
                    <pic:cNvPicPr/>
                  </pic:nvPicPr>
                  <pic:blipFill>
                    <a:blip r:embed="rId13"/>
                    <a:stretch>
                      <a:fillRect/>
                    </a:stretch>
                  </pic:blipFill>
                  <pic:spPr>
                    <a:xfrm>
                      <a:off x="0" y="0"/>
                      <a:ext cx="155448" cy="114300"/>
                    </a:xfrm>
                    <a:prstGeom prst="rect">
                      <a:avLst/>
                    </a:prstGeom>
                  </pic:spPr>
                </pic:pic>
              </a:graphicData>
            </a:graphic>
          </wp:inline>
        </w:drawing>
      </w:r>
      <w:r w:rsidRPr="00F473A3">
        <w:rPr>
          <w:rFonts w:asciiTheme="majorHAnsi" w:hAnsiTheme="majorHAnsi"/>
        </w:rPr>
        <w:t xml:space="preserve"> To give, by way of security, lease, sell or otherwise dispose of the whole or any part of the property or assets of the company.</w:t>
      </w:r>
    </w:p>
    <w:p w:rsidR="00F473A3" w:rsidRPr="00F473A3" w:rsidRDefault="00F473A3" w:rsidP="00460C2C">
      <w:pPr>
        <w:ind w:left="630" w:right="367" w:hanging="324"/>
        <w:rPr>
          <w:rFonts w:asciiTheme="majorHAnsi" w:hAnsiTheme="majorHAnsi"/>
        </w:rPr>
      </w:pPr>
      <w:r w:rsidRPr="00F473A3">
        <w:rPr>
          <w:rFonts w:asciiTheme="majorHAnsi" w:hAnsiTheme="majorHAnsi"/>
          <w:noProof/>
          <w:lang w:val="en-US" w:eastAsia="en-US"/>
        </w:rPr>
        <w:drawing>
          <wp:inline distT="0" distB="0" distL="0" distR="0" wp14:anchorId="757F0987" wp14:editId="259D663F">
            <wp:extent cx="155448" cy="118872"/>
            <wp:effectExtent l="0" t="0" r="0" b="0"/>
            <wp:docPr id="14489" name="Picture 14489"/>
            <wp:cNvGraphicFramePr/>
            <a:graphic xmlns:a="http://schemas.openxmlformats.org/drawingml/2006/main">
              <a:graphicData uri="http://schemas.openxmlformats.org/drawingml/2006/picture">
                <pic:pic xmlns:pic="http://schemas.openxmlformats.org/drawingml/2006/picture">
                  <pic:nvPicPr>
                    <pic:cNvPr id="14489" name="Picture 14489"/>
                    <pic:cNvPicPr/>
                  </pic:nvPicPr>
                  <pic:blipFill>
                    <a:blip r:embed="rId14"/>
                    <a:stretch>
                      <a:fillRect/>
                    </a:stretch>
                  </pic:blipFill>
                  <pic:spPr>
                    <a:xfrm>
                      <a:off x="0" y="0"/>
                      <a:ext cx="155448" cy="118872"/>
                    </a:xfrm>
                    <a:prstGeom prst="rect">
                      <a:avLst/>
                    </a:prstGeom>
                  </pic:spPr>
                </pic:pic>
              </a:graphicData>
            </a:graphic>
          </wp:inline>
        </w:drawing>
      </w:r>
      <w:r w:rsidRPr="00F473A3">
        <w:rPr>
          <w:rFonts w:asciiTheme="majorHAnsi" w:hAnsiTheme="majorHAnsi"/>
        </w:rPr>
        <w:t xml:space="preserve"> To borrow, or in any manner raise money, without any limit, for the purpose of, or in connection with, the company's business; to secure the repayment of any moneys borrowed by the company, or any other obligation of the company, by giving hypothecary or other security upon the whole or part of the movable and/or inamovable property of the company.</w:t>
      </w:r>
    </w:p>
    <w:p w:rsidR="00F473A3" w:rsidRPr="00F473A3" w:rsidRDefault="00F473A3" w:rsidP="00460C2C">
      <w:pPr>
        <w:ind w:left="630" w:right="7" w:hanging="324"/>
        <w:rPr>
          <w:rFonts w:asciiTheme="majorHAnsi" w:hAnsiTheme="majorHAnsi"/>
        </w:rPr>
      </w:pPr>
      <w:r w:rsidRPr="00F473A3">
        <w:rPr>
          <w:rFonts w:asciiTheme="majorHAnsi" w:hAnsiTheme="majorHAnsi"/>
        </w:rPr>
        <w:t xml:space="preserve">(v) Either with or without the company receiving any consideration or other benefit whatsoever, to guarantee, support or secure, whether by direct obligation, or by assigning, mortgaging, pledging, hypothecating, or otherwise charging all or any part of the undertaking, property, assets (present and future) and/or uncalled capital of the company, or by issuing any security of the company, or by any one or more of all such methods, or by any other method, the performance of any obligation or commitment of any person, firm, company or corporation, </w:t>
      </w:r>
      <w:r w:rsidRPr="00F473A3">
        <w:rPr>
          <w:rFonts w:asciiTheme="majorHAnsi" w:hAnsiTheme="majorHAnsi"/>
        </w:rPr>
        <w:lastRenderedPageBreak/>
        <w:t>including (without prejudice to the generality of the foregoing) any company which is, for the time being, a subsidiary company or holding company, or which is otherwise directly or indirectly associated with the company in business or through shareholding.</w:t>
      </w:r>
    </w:p>
    <w:p w:rsidR="00F473A3" w:rsidRPr="00F473A3" w:rsidRDefault="00F473A3" w:rsidP="00460C2C">
      <w:pPr>
        <w:ind w:left="630" w:right="7" w:hanging="324"/>
        <w:rPr>
          <w:rFonts w:asciiTheme="majorHAnsi" w:hAnsiTheme="majorHAnsi"/>
        </w:rPr>
      </w:pPr>
      <w:r w:rsidRPr="00F473A3">
        <w:rPr>
          <w:rFonts w:asciiTheme="majorHAnsi" w:hAnsiTheme="majorHAnsi"/>
          <w:noProof/>
          <w:lang w:val="en-US" w:eastAsia="en-US"/>
        </w:rPr>
        <w:drawing>
          <wp:inline distT="0" distB="0" distL="0" distR="0" wp14:anchorId="22684F70" wp14:editId="16BC3948">
            <wp:extent cx="155449" cy="114300"/>
            <wp:effectExtent l="0" t="0" r="0" b="0"/>
            <wp:docPr id="14491" name="Picture 14491"/>
            <wp:cNvGraphicFramePr/>
            <a:graphic xmlns:a="http://schemas.openxmlformats.org/drawingml/2006/main">
              <a:graphicData uri="http://schemas.openxmlformats.org/drawingml/2006/picture">
                <pic:pic xmlns:pic="http://schemas.openxmlformats.org/drawingml/2006/picture">
                  <pic:nvPicPr>
                    <pic:cNvPr id="14491" name="Picture 14491"/>
                    <pic:cNvPicPr/>
                  </pic:nvPicPr>
                  <pic:blipFill>
                    <a:blip r:embed="rId15"/>
                    <a:stretch>
                      <a:fillRect/>
                    </a:stretch>
                  </pic:blipFill>
                  <pic:spPr>
                    <a:xfrm>
                      <a:off x="0" y="0"/>
                      <a:ext cx="155449" cy="114300"/>
                    </a:xfrm>
                    <a:prstGeom prst="rect">
                      <a:avLst/>
                    </a:prstGeom>
                  </pic:spPr>
                </pic:pic>
              </a:graphicData>
            </a:graphic>
          </wp:inline>
        </w:drawing>
      </w:r>
      <w:r w:rsidRPr="00F473A3">
        <w:rPr>
          <w:rFonts w:asciiTheme="majorHAnsi" w:hAnsiTheme="majorHAnsi"/>
        </w:rPr>
        <w:t xml:space="preserve"> To derive income from anywhere in the world, including, but not limited to, income which would fall to be allocated to the foreign income account, as defined in Article 2 of the Income Tax Act, Chapter 123 of the Laws of Malta.</w:t>
      </w:r>
    </w:p>
    <w:p w:rsidR="00F473A3" w:rsidRPr="00F473A3" w:rsidRDefault="00F473A3" w:rsidP="00460C2C">
      <w:pPr>
        <w:ind w:left="630" w:right="7" w:hanging="324"/>
        <w:rPr>
          <w:rFonts w:asciiTheme="majorHAnsi" w:hAnsiTheme="majorHAnsi"/>
        </w:rPr>
      </w:pPr>
      <w:r w:rsidRPr="00F473A3">
        <w:rPr>
          <w:rFonts w:asciiTheme="majorHAnsi" w:hAnsiTheme="majorHAnsi"/>
          <w:noProof/>
          <w:lang w:val="en-US" w:eastAsia="en-US"/>
        </w:rPr>
        <w:drawing>
          <wp:inline distT="0" distB="0" distL="0" distR="0" wp14:anchorId="4DEE3E78" wp14:editId="47DF6E17">
            <wp:extent cx="182880" cy="114300"/>
            <wp:effectExtent l="0" t="0" r="0" b="0"/>
            <wp:docPr id="14493" name="Picture 14493"/>
            <wp:cNvGraphicFramePr/>
            <a:graphic xmlns:a="http://schemas.openxmlformats.org/drawingml/2006/main">
              <a:graphicData uri="http://schemas.openxmlformats.org/drawingml/2006/picture">
                <pic:pic xmlns:pic="http://schemas.openxmlformats.org/drawingml/2006/picture">
                  <pic:nvPicPr>
                    <pic:cNvPr id="14493" name="Picture 14493"/>
                    <pic:cNvPicPr/>
                  </pic:nvPicPr>
                  <pic:blipFill>
                    <a:blip r:embed="rId16"/>
                    <a:stretch>
                      <a:fillRect/>
                    </a:stretch>
                  </pic:blipFill>
                  <pic:spPr>
                    <a:xfrm>
                      <a:off x="0" y="0"/>
                      <a:ext cx="182880" cy="114300"/>
                    </a:xfrm>
                    <a:prstGeom prst="rect">
                      <a:avLst/>
                    </a:prstGeom>
                  </pic:spPr>
                </pic:pic>
              </a:graphicData>
            </a:graphic>
          </wp:inline>
        </w:drawing>
      </w:r>
      <w:r w:rsidRPr="00F473A3">
        <w:rPr>
          <w:rFonts w:asciiTheme="majorHAnsi" w:hAnsiTheme="majorHAnsi"/>
        </w:rPr>
        <w:t xml:space="preserve"> To do all such other things as are incidental, ancillary, or conducive to the attainment of the objects and/or the exercise of the powers of the company.</w:t>
      </w:r>
    </w:p>
    <w:p w:rsidR="00F473A3" w:rsidRPr="00F473A3" w:rsidRDefault="00F473A3" w:rsidP="00460C2C">
      <w:pPr>
        <w:ind w:left="1398" w:right="7" w:hanging="670"/>
        <w:rPr>
          <w:rFonts w:asciiTheme="majorHAnsi" w:hAnsiTheme="majorHAnsi"/>
        </w:rPr>
      </w:pPr>
    </w:p>
    <w:p w:rsidR="00F473A3" w:rsidRPr="00F473A3" w:rsidRDefault="00F473A3" w:rsidP="00460C2C">
      <w:pPr>
        <w:ind w:right="7"/>
        <w:rPr>
          <w:rFonts w:asciiTheme="majorHAnsi" w:hAnsiTheme="majorHAnsi"/>
        </w:rPr>
      </w:pPr>
      <w:r w:rsidRPr="00F473A3">
        <w:rPr>
          <w:rFonts w:asciiTheme="majorHAnsi" w:hAnsiTheme="majorHAnsi"/>
        </w:rPr>
        <w:t xml:space="preserve">The objects and powers set forth in this Article shall not be restrictively construed, but the widest interpretation shall be given thereto. None of the </w:t>
      </w:r>
      <w:r w:rsidRPr="00F730AD">
        <w:rPr>
          <w:rFonts w:asciiTheme="majorHAnsi" w:hAnsiTheme="majorHAnsi"/>
          <w:noProof/>
        </w:rPr>
        <w:t>above</w:t>
      </w:r>
      <w:r w:rsidR="00F730AD">
        <w:rPr>
          <w:rFonts w:asciiTheme="majorHAnsi" w:hAnsiTheme="majorHAnsi"/>
          <w:noProof/>
        </w:rPr>
        <w:t>-</w:t>
      </w:r>
      <w:r w:rsidRPr="00F730AD">
        <w:rPr>
          <w:rFonts w:asciiTheme="majorHAnsi" w:hAnsiTheme="majorHAnsi"/>
          <w:noProof/>
        </w:rPr>
        <w:t>described</w:t>
      </w:r>
      <w:r w:rsidRPr="00F473A3">
        <w:rPr>
          <w:rFonts w:asciiTheme="majorHAnsi" w:hAnsiTheme="majorHAnsi"/>
        </w:rPr>
        <w:t xml:space="preserve"> objects and powers shall be deemed subsidiary or ancillary to any other object or power provided for above. The company shall have full power to exercise all or any of the powers, and to achieve or to </w:t>
      </w:r>
      <w:r w:rsidRPr="00BF1FAE">
        <w:rPr>
          <w:rFonts w:asciiTheme="majorHAnsi" w:hAnsiTheme="majorHAnsi"/>
          <w:noProof/>
        </w:rPr>
        <w:t>endeavor</w:t>
      </w:r>
      <w:r w:rsidRPr="00F473A3">
        <w:rPr>
          <w:rFonts w:asciiTheme="majorHAnsi" w:hAnsiTheme="majorHAnsi"/>
        </w:rPr>
        <w:t xml:space="preserve"> to achieve all or any of the objects conferred by, and provided for, in any one or more of the above sub-Articles. Nothing in the foregoing shall be construed as empowering or enabling the company to carry out any activity or service which requires a </w:t>
      </w:r>
      <w:r w:rsidRPr="00BF1FAE">
        <w:rPr>
          <w:rFonts w:asciiTheme="majorHAnsi" w:hAnsiTheme="majorHAnsi"/>
          <w:noProof/>
        </w:rPr>
        <w:t>licen</w:t>
      </w:r>
      <w:r w:rsidR="00BF1FAE">
        <w:rPr>
          <w:rFonts w:asciiTheme="majorHAnsi" w:hAnsiTheme="majorHAnsi"/>
          <w:noProof/>
        </w:rPr>
        <w:t>s</w:t>
      </w:r>
      <w:r w:rsidRPr="00BF1FAE">
        <w:rPr>
          <w:rFonts w:asciiTheme="majorHAnsi" w:hAnsiTheme="majorHAnsi"/>
          <w:noProof/>
        </w:rPr>
        <w:t>e</w:t>
      </w:r>
      <w:r w:rsidRPr="00F473A3">
        <w:rPr>
          <w:rFonts w:asciiTheme="majorHAnsi" w:hAnsiTheme="majorHAnsi"/>
        </w:rPr>
        <w:t xml:space="preserve"> or other authorization, under any law in force in Malta, without such a </w:t>
      </w:r>
      <w:r w:rsidRPr="00BF1FAE">
        <w:rPr>
          <w:rFonts w:asciiTheme="majorHAnsi" w:hAnsiTheme="majorHAnsi"/>
          <w:noProof/>
        </w:rPr>
        <w:t>licen</w:t>
      </w:r>
      <w:r w:rsidR="00BF1FAE">
        <w:rPr>
          <w:rFonts w:asciiTheme="majorHAnsi" w:hAnsiTheme="majorHAnsi"/>
          <w:noProof/>
        </w:rPr>
        <w:t>s</w:t>
      </w:r>
      <w:r w:rsidRPr="00BF1FAE">
        <w:rPr>
          <w:rFonts w:asciiTheme="majorHAnsi" w:hAnsiTheme="majorHAnsi"/>
          <w:noProof/>
        </w:rPr>
        <w:t>e</w:t>
      </w:r>
      <w:r w:rsidRPr="00F473A3">
        <w:rPr>
          <w:rFonts w:asciiTheme="majorHAnsi" w:hAnsiTheme="majorHAnsi"/>
        </w:rPr>
        <w:t xml:space="preserve"> or other appropriate </w:t>
      </w:r>
      <w:r w:rsidRPr="00BF1FAE">
        <w:rPr>
          <w:rFonts w:asciiTheme="majorHAnsi" w:hAnsiTheme="majorHAnsi"/>
          <w:noProof/>
        </w:rPr>
        <w:t>authori</w:t>
      </w:r>
      <w:r w:rsidR="00BF1FAE">
        <w:rPr>
          <w:rFonts w:asciiTheme="majorHAnsi" w:hAnsiTheme="majorHAnsi"/>
          <w:noProof/>
        </w:rPr>
        <w:t>z</w:t>
      </w:r>
      <w:r w:rsidRPr="00BF1FAE">
        <w:rPr>
          <w:rFonts w:asciiTheme="majorHAnsi" w:hAnsiTheme="majorHAnsi"/>
          <w:noProof/>
        </w:rPr>
        <w:t>ation</w:t>
      </w:r>
      <w:r w:rsidRPr="00F473A3">
        <w:rPr>
          <w:rFonts w:asciiTheme="majorHAnsi" w:hAnsiTheme="majorHAnsi"/>
        </w:rPr>
        <w:t xml:space="preserve"> from the relevant competent authority, and the provisions of Article 77 (3) of the Companies Act shall apply.</w:t>
      </w:r>
    </w:p>
    <w:p w:rsidR="00F473A3" w:rsidRPr="00F473A3" w:rsidRDefault="00F473A3" w:rsidP="00460C2C">
      <w:pPr>
        <w:spacing w:line="259" w:lineRule="auto"/>
        <w:rPr>
          <w:rFonts w:asciiTheme="majorHAnsi" w:hAnsiTheme="majorHAnsi"/>
        </w:rPr>
      </w:pPr>
    </w:p>
    <w:p w:rsidR="00FE2D47" w:rsidRPr="00F473A3" w:rsidRDefault="00FE2D47" w:rsidP="00460C2C">
      <w:pPr>
        <w:spacing w:line="259" w:lineRule="auto"/>
        <w:rPr>
          <w:rFonts w:asciiTheme="majorHAnsi" w:hAnsiTheme="majorHAnsi"/>
        </w:rPr>
      </w:pPr>
      <w:r w:rsidRPr="00F473A3">
        <w:rPr>
          <w:rFonts w:asciiTheme="majorHAnsi" w:hAnsiTheme="majorHAnsi"/>
          <w:b/>
        </w:rPr>
        <w:t xml:space="preserve">Locations where </w:t>
      </w:r>
      <w:r w:rsidRPr="00F473A3">
        <w:rPr>
          <w:rFonts w:asciiTheme="majorHAnsi" w:hAnsiTheme="majorHAnsi"/>
          <w:b/>
          <w:noProof/>
        </w:rPr>
        <w:t>issuer</w:t>
      </w:r>
      <w:r w:rsidRPr="00F473A3">
        <w:rPr>
          <w:rFonts w:asciiTheme="majorHAnsi" w:hAnsiTheme="majorHAnsi"/>
          <w:b/>
        </w:rPr>
        <w:t xml:space="preserve"> has been established for a </w:t>
      </w:r>
      <w:r w:rsidRPr="00F473A3">
        <w:rPr>
          <w:rFonts w:asciiTheme="majorHAnsi" w:hAnsiTheme="majorHAnsi"/>
          <w:b/>
          <w:noProof/>
        </w:rPr>
        <w:t>period</w:t>
      </w:r>
      <w:r w:rsidRPr="00F473A3">
        <w:rPr>
          <w:rFonts w:asciiTheme="majorHAnsi" w:hAnsiTheme="majorHAnsi"/>
          <w:b/>
        </w:rPr>
        <w:t xml:space="preserve"> exceeding three years</w:t>
      </w:r>
      <w:r w:rsidRPr="00F473A3">
        <w:rPr>
          <w:rFonts w:asciiTheme="majorHAnsi" w:hAnsiTheme="majorHAnsi"/>
        </w:rPr>
        <w:t>:</w:t>
      </w:r>
      <w:r w:rsidR="00F473A3" w:rsidRPr="00F473A3">
        <w:rPr>
          <w:rFonts w:asciiTheme="majorHAnsi" w:hAnsiTheme="majorHAnsi"/>
        </w:rPr>
        <w:t xml:space="preserve"> </w:t>
      </w:r>
      <w:r w:rsidR="002E7E90">
        <w:rPr>
          <w:rFonts w:asciiTheme="majorHAnsi" w:hAnsiTheme="majorHAnsi"/>
        </w:rPr>
        <w:t>None (n</w:t>
      </w:r>
      <w:r w:rsidR="003E1D02">
        <w:rPr>
          <w:rFonts w:asciiTheme="majorHAnsi" w:hAnsiTheme="majorHAnsi"/>
        </w:rPr>
        <w:t>ew company</w:t>
      </w:r>
      <w:r w:rsidR="002E7E90">
        <w:rPr>
          <w:rFonts w:asciiTheme="majorHAnsi" w:hAnsiTheme="majorHAnsi"/>
        </w:rPr>
        <w:t>)</w:t>
      </w:r>
      <w:r w:rsidR="00EE702D">
        <w:rPr>
          <w:rFonts w:asciiTheme="majorHAnsi" w:hAnsiTheme="majorHAnsi"/>
        </w:rPr>
        <w:t>.</w:t>
      </w:r>
      <w:r w:rsidR="003E1D02">
        <w:rPr>
          <w:rFonts w:asciiTheme="majorHAnsi" w:hAnsiTheme="majorHAnsi"/>
        </w:rPr>
        <w:br/>
      </w:r>
    </w:p>
    <w:p w:rsidR="00F473A3" w:rsidRPr="00F473A3" w:rsidRDefault="00FE2D47" w:rsidP="00460C2C">
      <w:pPr>
        <w:spacing w:line="259" w:lineRule="auto"/>
        <w:rPr>
          <w:rFonts w:asciiTheme="majorHAnsi" w:hAnsiTheme="majorHAnsi" w:cs="Calibri"/>
          <w:lang w:val="en-US"/>
        </w:rPr>
      </w:pPr>
      <w:r w:rsidRPr="00F473A3">
        <w:rPr>
          <w:rFonts w:asciiTheme="majorHAnsi" w:hAnsiTheme="majorHAnsi"/>
          <w:b/>
        </w:rPr>
        <w:t xml:space="preserve">Financial track record, </w:t>
      </w:r>
      <w:r w:rsidRPr="00F473A3">
        <w:rPr>
          <w:rFonts w:asciiTheme="majorHAnsi" w:hAnsiTheme="majorHAnsi"/>
          <w:b/>
          <w:noProof/>
        </w:rPr>
        <w:t>group</w:t>
      </w:r>
      <w:r w:rsidRPr="00F473A3">
        <w:rPr>
          <w:rFonts w:asciiTheme="majorHAnsi" w:hAnsiTheme="majorHAnsi"/>
          <w:b/>
        </w:rPr>
        <w:t xml:space="preserve"> of undertakings, principal activities, etc (where applicable)</w:t>
      </w:r>
      <w:r w:rsidRPr="00F473A3">
        <w:rPr>
          <w:rFonts w:asciiTheme="majorHAnsi" w:hAnsiTheme="majorHAnsi"/>
        </w:rPr>
        <w:t>:</w:t>
      </w:r>
      <w:r w:rsidR="00F473A3" w:rsidRPr="00F473A3">
        <w:rPr>
          <w:rFonts w:asciiTheme="majorHAnsi" w:hAnsiTheme="majorHAnsi"/>
        </w:rPr>
        <w:t xml:space="preserve"> </w:t>
      </w:r>
      <w:r w:rsidR="00F473A3" w:rsidRPr="00F473A3">
        <w:rPr>
          <w:rFonts w:asciiTheme="majorHAnsi" w:hAnsiTheme="majorHAnsi" w:cs="Calibri"/>
          <w:lang w:val="en-US"/>
        </w:rPr>
        <w:t>New company, no financial track record. The company will have a share capital of 100,000 euros.</w:t>
      </w:r>
      <w:r w:rsidR="003E1D02">
        <w:rPr>
          <w:rFonts w:asciiTheme="majorHAnsi" w:hAnsiTheme="majorHAnsi" w:cs="Calibri"/>
          <w:lang w:val="en-US"/>
        </w:rPr>
        <w:br/>
      </w:r>
    </w:p>
    <w:p w:rsidR="00501222" w:rsidRDefault="00FE2D47" w:rsidP="00460C2C">
      <w:pPr>
        <w:spacing w:line="259" w:lineRule="auto"/>
        <w:rPr>
          <w:rFonts w:asciiTheme="majorHAnsi" w:hAnsiTheme="majorHAnsi" w:cs="Calibri"/>
          <w:lang w:val="en-US"/>
        </w:rPr>
      </w:pPr>
      <w:r w:rsidRPr="00F473A3">
        <w:rPr>
          <w:rFonts w:asciiTheme="majorHAnsi" w:hAnsiTheme="majorHAnsi"/>
          <w:b/>
        </w:rPr>
        <w:t>Directors exercising a determining role in issuer’s administration (directly or indirectly)</w:t>
      </w:r>
      <w:r w:rsidRPr="00F473A3">
        <w:rPr>
          <w:rFonts w:asciiTheme="majorHAnsi" w:hAnsiTheme="majorHAnsi"/>
        </w:rPr>
        <w:t>:</w:t>
      </w:r>
      <w:r w:rsidR="00F473A3" w:rsidRPr="00F473A3">
        <w:rPr>
          <w:rFonts w:asciiTheme="majorHAnsi" w:hAnsiTheme="majorHAnsi"/>
        </w:rPr>
        <w:t xml:space="preserve"> </w:t>
      </w:r>
      <w:r w:rsidR="002E7E90">
        <w:rPr>
          <w:rFonts w:asciiTheme="majorHAnsi" w:hAnsiTheme="majorHAnsi"/>
        </w:rPr>
        <w:br/>
      </w:r>
      <w:r w:rsidR="00F473A3" w:rsidRPr="00F473A3">
        <w:rPr>
          <w:rFonts w:asciiTheme="majorHAnsi" w:hAnsiTheme="majorHAnsi" w:cs="Calibri"/>
          <w:lang w:val="en-US"/>
        </w:rPr>
        <w:t>Marco Mottana, Fabrizio Crimi</w:t>
      </w:r>
    </w:p>
    <w:p w:rsidR="00FE2D47" w:rsidRPr="00F473A3" w:rsidRDefault="00FE2D47" w:rsidP="00460C2C">
      <w:pPr>
        <w:spacing w:line="259" w:lineRule="auto"/>
        <w:rPr>
          <w:rFonts w:asciiTheme="majorHAnsi" w:hAnsiTheme="majorHAnsi"/>
        </w:rPr>
      </w:pPr>
    </w:p>
    <w:p w:rsidR="00501222" w:rsidRDefault="00FE2D47" w:rsidP="00460C2C">
      <w:pPr>
        <w:spacing w:line="259" w:lineRule="auto"/>
        <w:rPr>
          <w:rFonts w:asciiTheme="majorHAnsi" w:hAnsiTheme="majorHAnsi"/>
        </w:rPr>
      </w:pPr>
      <w:r w:rsidRPr="00F473A3">
        <w:rPr>
          <w:rFonts w:asciiTheme="majorHAnsi" w:hAnsiTheme="majorHAnsi"/>
          <w:b/>
        </w:rPr>
        <w:t>Legal proceedings disclosure (any impacting issuer’s financial position)</w:t>
      </w:r>
      <w:r w:rsidRPr="00F473A3">
        <w:rPr>
          <w:rFonts w:asciiTheme="majorHAnsi" w:hAnsiTheme="majorHAnsi"/>
        </w:rPr>
        <w:t>:</w:t>
      </w:r>
      <w:r w:rsidR="00F473A3" w:rsidRPr="00F473A3">
        <w:rPr>
          <w:rFonts w:asciiTheme="majorHAnsi" w:hAnsiTheme="majorHAnsi"/>
        </w:rPr>
        <w:t xml:space="preserve"> none</w:t>
      </w:r>
    </w:p>
    <w:p w:rsidR="00D72775" w:rsidRDefault="00D72775" w:rsidP="00460C2C">
      <w:pPr>
        <w:spacing w:line="259" w:lineRule="auto"/>
        <w:rPr>
          <w:rFonts w:asciiTheme="majorHAnsi" w:hAnsiTheme="majorHAnsi"/>
        </w:rPr>
      </w:pPr>
    </w:p>
    <w:p w:rsidR="00501222" w:rsidRDefault="00FE2D47" w:rsidP="00460C2C">
      <w:pPr>
        <w:spacing w:line="259" w:lineRule="auto"/>
        <w:rPr>
          <w:rFonts w:asciiTheme="majorHAnsi" w:hAnsiTheme="majorHAnsi"/>
        </w:rPr>
      </w:pPr>
      <w:r w:rsidRPr="00F473A3">
        <w:rPr>
          <w:rFonts w:asciiTheme="majorHAnsi" w:hAnsiTheme="majorHAnsi"/>
          <w:b/>
        </w:rPr>
        <w:t>Board of administration</w:t>
      </w:r>
      <w:r w:rsidRPr="00F473A3">
        <w:rPr>
          <w:rFonts w:asciiTheme="majorHAnsi" w:hAnsiTheme="majorHAnsi"/>
        </w:rPr>
        <w:t xml:space="preserve">: </w:t>
      </w:r>
    </w:p>
    <w:p w:rsidR="00F473A3" w:rsidRPr="00F473A3" w:rsidRDefault="00F473A3" w:rsidP="00460C2C">
      <w:pPr>
        <w:rPr>
          <w:rFonts w:asciiTheme="majorHAnsi" w:hAnsiTheme="majorHAnsi" w:cs="Calibri"/>
          <w:lang w:val="en-US"/>
        </w:rPr>
      </w:pPr>
      <w:r w:rsidRPr="00F473A3">
        <w:rPr>
          <w:rFonts w:asciiTheme="majorHAnsi" w:hAnsiTheme="majorHAnsi"/>
        </w:rPr>
        <w:br/>
      </w:r>
      <w:r w:rsidRPr="00F473A3">
        <w:rPr>
          <w:rFonts w:asciiTheme="majorHAnsi" w:hAnsiTheme="majorHAnsi" w:cs="Calibri"/>
          <w:lang w:val="en-US"/>
        </w:rPr>
        <w:t>Marco Mottana, Via Crotto Rosa 6a, 22036 Erba Co, Italy, CEO</w:t>
      </w:r>
    </w:p>
    <w:p w:rsidR="00F473A3" w:rsidRPr="00F473A3" w:rsidRDefault="00F473A3" w:rsidP="00460C2C">
      <w:pPr>
        <w:rPr>
          <w:rFonts w:asciiTheme="majorHAnsi" w:hAnsiTheme="majorHAnsi" w:cs="Calibri"/>
          <w:lang w:val="en-US"/>
        </w:rPr>
      </w:pPr>
      <w:r w:rsidRPr="00F473A3">
        <w:rPr>
          <w:rFonts w:asciiTheme="majorHAnsi" w:hAnsiTheme="majorHAnsi" w:cs="Calibri"/>
          <w:lang w:val="en-US"/>
        </w:rPr>
        <w:t>Fabrizio Crimi, Portomaso 23101, Vjal Portomaso, Paceville, San Giljan, STJ Malta, COO</w:t>
      </w:r>
    </w:p>
    <w:p w:rsidR="000A1C8F" w:rsidRPr="002E7E90" w:rsidRDefault="00F473A3" w:rsidP="00460C2C">
      <w:pPr>
        <w:rPr>
          <w:rFonts w:asciiTheme="majorHAnsi" w:hAnsiTheme="majorHAnsi" w:cs="Calibri"/>
          <w:lang w:val="en-US"/>
        </w:rPr>
      </w:pPr>
      <w:r w:rsidRPr="00F473A3">
        <w:rPr>
          <w:rFonts w:asciiTheme="majorHAnsi" w:hAnsiTheme="majorHAnsi" w:cs="Calibri"/>
          <w:lang w:val="en-US"/>
        </w:rPr>
        <w:t>Gianfranco Scordato, CFO</w:t>
      </w:r>
    </w:p>
    <w:p w:rsidR="000A1C8F" w:rsidRPr="003C15AA" w:rsidRDefault="000A1C8F" w:rsidP="00460C2C">
      <w:pPr>
        <w:pStyle w:val="Titolo2"/>
        <w:rPr>
          <w:rFonts w:ascii="Franklin Gothic Demi" w:eastAsia="Times New Roman" w:hAnsi="Franklin Gothic Demi" w:cs="Times New Roman"/>
          <w:b w:val="0"/>
          <w:bCs w:val="0"/>
          <w:iCs w:val="0"/>
          <w:color w:val="018BB3"/>
          <w:spacing w:val="26"/>
          <w:szCs w:val="36"/>
        </w:rPr>
      </w:pPr>
      <w:bookmarkStart w:id="14" w:name="_Toc523439985"/>
      <w:r w:rsidRPr="003C15AA">
        <w:rPr>
          <w:rFonts w:ascii="Franklin Gothic Demi" w:eastAsia="Times New Roman" w:hAnsi="Franklin Gothic Demi" w:cs="Times New Roman"/>
          <w:b w:val="0"/>
          <w:bCs w:val="0"/>
          <w:iCs w:val="0"/>
          <w:color w:val="018BB3"/>
          <w:spacing w:val="26"/>
          <w:szCs w:val="36"/>
        </w:rPr>
        <w:lastRenderedPageBreak/>
        <w:t>Issuance Details</w:t>
      </w:r>
      <w:bookmarkEnd w:id="14"/>
    </w:p>
    <w:p w:rsidR="0016590F" w:rsidRPr="003E1D02" w:rsidRDefault="001B78B5" w:rsidP="00460C2C">
      <w:pPr>
        <w:pStyle w:val="Corpotesto"/>
        <w:spacing w:after="280"/>
        <w:rPr>
          <w:rFonts w:asciiTheme="majorHAnsi" w:hAnsiTheme="majorHAnsi" w:cs="Times New Roman"/>
        </w:rPr>
      </w:pPr>
      <w:r w:rsidRPr="000904D4">
        <w:rPr>
          <w:rFonts w:asciiTheme="majorHAnsi" w:hAnsiTheme="majorHAnsi" w:cs="Times New Roman"/>
        </w:rPr>
        <w:t>CFX is base</w:t>
      </w:r>
      <w:r w:rsidR="00F42289" w:rsidRPr="000904D4">
        <w:rPr>
          <w:rFonts w:asciiTheme="majorHAnsi" w:hAnsiTheme="majorHAnsi" w:cs="Times New Roman"/>
        </w:rPr>
        <w:t>d in Malta and</w:t>
      </w:r>
      <w:r w:rsidRPr="000904D4">
        <w:rPr>
          <w:rFonts w:asciiTheme="majorHAnsi" w:hAnsiTheme="majorHAnsi" w:cs="Times New Roman"/>
        </w:rPr>
        <w:t xml:space="preserve"> will follow all procedures </w:t>
      </w:r>
      <w:r w:rsidR="00F42289" w:rsidRPr="000904D4">
        <w:rPr>
          <w:rFonts w:asciiTheme="majorHAnsi" w:hAnsiTheme="majorHAnsi" w:cs="Times New Roman"/>
        </w:rPr>
        <w:t>defined</w:t>
      </w:r>
      <w:r w:rsidRPr="000904D4">
        <w:rPr>
          <w:rFonts w:asciiTheme="majorHAnsi" w:hAnsiTheme="majorHAnsi" w:cs="Times New Roman"/>
        </w:rPr>
        <w:t xml:space="preserve"> by MFSA and</w:t>
      </w:r>
      <w:r w:rsidR="00F42289" w:rsidRPr="000904D4">
        <w:rPr>
          <w:rFonts w:asciiTheme="majorHAnsi" w:hAnsiTheme="majorHAnsi" w:cs="Times New Roman"/>
        </w:rPr>
        <w:t>,</w:t>
      </w:r>
      <w:r w:rsidRPr="000904D4">
        <w:rPr>
          <w:rFonts w:asciiTheme="majorHAnsi" w:hAnsiTheme="majorHAnsi" w:cs="Times New Roman"/>
        </w:rPr>
        <w:t xml:space="preserve"> on </w:t>
      </w:r>
      <w:r w:rsidRPr="00F730AD">
        <w:rPr>
          <w:rFonts w:asciiTheme="majorHAnsi" w:hAnsiTheme="majorHAnsi" w:cs="Times New Roman"/>
          <w:noProof/>
        </w:rPr>
        <w:t>conclusion</w:t>
      </w:r>
      <w:r w:rsidR="00F42289" w:rsidRPr="000904D4">
        <w:rPr>
          <w:rFonts w:asciiTheme="majorHAnsi" w:hAnsiTheme="majorHAnsi" w:cs="Times New Roman"/>
        </w:rPr>
        <w:t>,</w:t>
      </w:r>
      <w:r w:rsidRPr="000904D4">
        <w:rPr>
          <w:rFonts w:asciiTheme="majorHAnsi" w:hAnsiTheme="majorHAnsi" w:cs="Times New Roman"/>
        </w:rPr>
        <w:t xml:space="preserve"> will </w:t>
      </w:r>
      <w:r w:rsidRPr="003E1D02">
        <w:rPr>
          <w:rFonts w:asciiTheme="majorHAnsi" w:hAnsiTheme="majorHAnsi" w:cs="Times New Roman"/>
        </w:rPr>
        <w:t xml:space="preserve">make its first public offer of CFX Token, with </w:t>
      </w:r>
      <w:r w:rsidR="00272F82" w:rsidRPr="003E1D02">
        <w:rPr>
          <w:rFonts w:asciiTheme="majorHAnsi" w:hAnsiTheme="majorHAnsi" w:cs="Times New Roman"/>
        </w:rPr>
        <w:t xml:space="preserve">a </w:t>
      </w:r>
      <w:r w:rsidRPr="003E1D02">
        <w:rPr>
          <w:rFonts w:asciiTheme="majorHAnsi" w:hAnsiTheme="majorHAnsi" w:cs="Times New Roman"/>
          <w:noProof/>
        </w:rPr>
        <w:t>hard</w:t>
      </w:r>
      <w:r w:rsidRPr="003E1D02">
        <w:rPr>
          <w:rFonts w:asciiTheme="majorHAnsi" w:hAnsiTheme="majorHAnsi" w:cs="Times New Roman"/>
        </w:rPr>
        <w:t xml:space="preserve"> cap at €100 million.</w:t>
      </w:r>
    </w:p>
    <w:p w:rsidR="0016590F" w:rsidRPr="003E1D02" w:rsidRDefault="002C3A3A" w:rsidP="00460C2C">
      <w:pPr>
        <w:pStyle w:val="Corpotesto"/>
        <w:spacing w:after="280"/>
        <w:rPr>
          <w:rFonts w:asciiTheme="majorHAnsi" w:hAnsiTheme="majorHAnsi" w:cs="Times New Roman"/>
        </w:rPr>
      </w:pPr>
      <w:r w:rsidRPr="003E1D02">
        <w:rPr>
          <w:rFonts w:asciiTheme="majorHAnsi" w:hAnsiTheme="majorHAnsi" w:cs="Times New Roman"/>
        </w:rPr>
        <w:t>CFX will maintain the option</w:t>
      </w:r>
      <w:r w:rsidR="001B78B5" w:rsidRPr="003E1D02">
        <w:rPr>
          <w:rFonts w:asciiTheme="majorHAnsi" w:hAnsiTheme="majorHAnsi" w:cs="Times New Roman"/>
        </w:rPr>
        <w:t xml:space="preserve"> to make two further offers in the next 5 years if opportunit</w:t>
      </w:r>
      <w:r w:rsidRPr="003E1D02">
        <w:rPr>
          <w:rFonts w:asciiTheme="majorHAnsi" w:hAnsiTheme="majorHAnsi" w:cs="Times New Roman"/>
        </w:rPr>
        <w:t>ies arise and it's convenient for</w:t>
      </w:r>
      <w:r w:rsidR="001B78B5" w:rsidRPr="003E1D02">
        <w:rPr>
          <w:rFonts w:asciiTheme="majorHAnsi" w:hAnsiTheme="majorHAnsi" w:cs="Times New Roman"/>
        </w:rPr>
        <w:t xml:space="preserve"> every token owner.</w:t>
      </w:r>
    </w:p>
    <w:p w:rsidR="007E2132" w:rsidRDefault="001B78B5" w:rsidP="00460C2C">
      <w:pPr>
        <w:pStyle w:val="Corpotesto"/>
        <w:spacing w:before="100" w:after="100"/>
        <w:rPr>
          <w:rFonts w:asciiTheme="majorHAnsi" w:hAnsiTheme="majorHAnsi" w:cs="Times New Roman"/>
        </w:rPr>
      </w:pPr>
      <w:r w:rsidRPr="003E1D02">
        <w:rPr>
          <w:rFonts w:asciiTheme="majorHAnsi" w:hAnsiTheme="majorHAnsi" w:cs="Times New Roman"/>
        </w:rPr>
        <w:t xml:space="preserve">CFX Token will guarantee its owners a </w:t>
      </w:r>
      <w:r w:rsidRPr="003E1D02">
        <w:rPr>
          <w:rFonts w:asciiTheme="majorHAnsi" w:hAnsiTheme="majorHAnsi" w:cs="Times New Roman"/>
          <w:noProof/>
        </w:rPr>
        <w:t>dividend</w:t>
      </w:r>
      <w:r w:rsidR="003E1D02">
        <w:rPr>
          <w:rFonts w:asciiTheme="majorHAnsi" w:hAnsiTheme="majorHAnsi" w:cs="Times New Roman"/>
          <w:noProof/>
        </w:rPr>
        <w:t xml:space="preserve"> </w:t>
      </w:r>
      <w:r w:rsidRPr="003E1D02">
        <w:rPr>
          <w:rFonts w:asciiTheme="majorHAnsi" w:hAnsiTheme="majorHAnsi" w:cs="Times New Roman"/>
          <w:noProof/>
        </w:rPr>
        <w:t>equal</w:t>
      </w:r>
      <w:r w:rsidRPr="003E1D02">
        <w:rPr>
          <w:rFonts w:asciiTheme="majorHAnsi" w:hAnsiTheme="majorHAnsi" w:cs="Times New Roman"/>
        </w:rPr>
        <w:t xml:space="preserve"> to:</w:t>
      </w:r>
    </w:p>
    <w:p w:rsidR="007E2132" w:rsidRDefault="001B78B5" w:rsidP="00460C2C">
      <w:pPr>
        <w:pStyle w:val="Corpotesto"/>
        <w:numPr>
          <w:ilvl w:val="0"/>
          <w:numId w:val="32"/>
        </w:numPr>
        <w:spacing w:before="100" w:after="100"/>
        <w:rPr>
          <w:rFonts w:asciiTheme="majorHAnsi" w:hAnsiTheme="majorHAnsi" w:cs="Times New Roman"/>
        </w:rPr>
      </w:pPr>
      <w:r w:rsidRPr="003E1D02">
        <w:rPr>
          <w:rFonts w:asciiTheme="majorHAnsi" w:hAnsiTheme="majorHAnsi" w:cs="Times New Roman"/>
        </w:rPr>
        <w:t>70% of ROI generated on internal Funds managed directly by CFX</w:t>
      </w:r>
      <w:r w:rsidR="002E7E90">
        <w:rPr>
          <w:rFonts w:asciiTheme="majorHAnsi" w:hAnsiTheme="majorHAnsi" w:cs="Times New Roman"/>
        </w:rPr>
        <w:t>.</w:t>
      </w:r>
    </w:p>
    <w:p w:rsidR="00594DEB" w:rsidRPr="003E1D02" w:rsidRDefault="001B78B5" w:rsidP="00460C2C">
      <w:pPr>
        <w:pStyle w:val="Corpotesto"/>
        <w:numPr>
          <w:ilvl w:val="0"/>
          <w:numId w:val="32"/>
        </w:numPr>
        <w:spacing w:before="100" w:after="100"/>
        <w:rPr>
          <w:rFonts w:asciiTheme="majorHAnsi" w:hAnsiTheme="majorHAnsi" w:cs="Times New Roman"/>
        </w:rPr>
      </w:pPr>
      <w:r w:rsidRPr="003E1D02">
        <w:rPr>
          <w:rFonts w:asciiTheme="majorHAnsi" w:hAnsiTheme="majorHAnsi" w:cs="Times New Roman"/>
        </w:rPr>
        <w:t xml:space="preserve">20% of </w:t>
      </w:r>
      <w:r w:rsidRPr="00F730AD">
        <w:rPr>
          <w:rFonts w:asciiTheme="majorHAnsi" w:hAnsiTheme="majorHAnsi" w:cs="Times New Roman"/>
          <w:noProof/>
        </w:rPr>
        <w:t>P</w:t>
      </w:r>
      <w:r w:rsidR="00F730AD" w:rsidRPr="00F730AD">
        <w:rPr>
          <w:rFonts w:asciiTheme="majorHAnsi" w:hAnsiTheme="majorHAnsi" w:cs="Times New Roman"/>
          <w:noProof/>
        </w:rPr>
        <w:t>er</w:t>
      </w:r>
      <w:r w:rsidR="00F730AD">
        <w:rPr>
          <w:rFonts w:asciiTheme="majorHAnsi" w:hAnsiTheme="majorHAnsi" w:cs="Times New Roman"/>
          <w:noProof/>
        </w:rPr>
        <w:t>formance Fees</w:t>
      </w:r>
      <w:r w:rsidR="00DC4357" w:rsidRPr="003E1D02">
        <w:rPr>
          <w:rFonts w:asciiTheme="majorHAnsi" w:hAnsiTheme="majorHAnsi" w:cs="Times New Roman"/>
        </w:rPr>
        <w:t xml:space="preserve"> R</w:t>
      </w:r>
      <w:r w:rsidR="00F730AD">
        <w:rPr>
          <w:rFonts w:asciiTheme="majorHAnsi" w:hAnsiTheme="majorHAnsi" w:cs="Times New Roman"/>
        </w:rPr>
        <w:t>evenues</w:t>
      </w:r>
      <w:r w:rsidR="00DC4357" w:rsidRPr="003E1D02">
        <w:rPr>
          <w:rFonts w:asciiTheme="majorHAnsi" w:hAnsiTheme="majorHAnsi" w:cs="Times New Roman"/>
        </w:rPr>
        <w:t xml:space="preserve"> generated by </w:t>
      </w:r>
      <w:r w:rsidRPr="003E1D02">
        <w:rPr>
          <w:rFonts w:asciiTheme="majorHAnsi" w:hAnsiTheme="majorHAnsi" w:cs="Times New Roman"/>
        </w:rPr>
        <w:t>all external Fund</w:t>
      </w:r>
      <w:r w:rsidR="002C3A3A" w:rsidRPr="003E1D02">
        <w:rPr>
          <w:rFonts w:asciiTheme="majorHAnsi" w:hAnsiTheme="majorHAnsi" w:cs="Times New Roman"/>
        </w:rPr>
        <w:t>s</w:t>
      </w:r>
      <w:r w:rsidRPr="003E1D02">
        <w:rPr>
          <w:rFonts w:asciiTheme="majorHAnsi" w:hAnsiTheme="majorHAnsi" w:cs="Times New Roman"/>
        </w:rPr>
        <w:t xml:space="preserve"> utilizing HATS for their management</w:t>
      </w:r>
      <w:r w:rsidR="002E7E90">
        <w:rPr>
          <w:rFonts w:asciiTheme="majorHAnsi" w:hAnsiTheme="majorHAnsi" w:cs="Times New Roman"/>
        </w:rPr>
        <w:t>.</w:t>
      </w:r>
    </w:p>
    <w:p w:rsidR="00594DEB" w:rsidRPr="003E1D02" w:rsidRDefault="00594DEB" w:rsidP="00460C2C">
      <w:pPr>
        <w:rPr>
          <w:rFonts w:asciiTheme="majorHAnsi" w:hAnsiTheme="majorHAnsi"/>
        </w:rPr>
      </w:pPr>
      <w:r w:rsidRPr="003E1D02">
        <w:rPr>
          <w:rFonts w:asciiTheme="majorHAnsi" w:hAnsiTheme="majorHAnsi"/>
          <w:b/>
        </w:rPr>
        <w:t>Soft cap</w:t>
      </w:r>
      <w:r w:rsidRPr="003E1D02">
        <w:rPr>
          <w:rFonts w:asciiTheme="majorHAnsi" w:hAnsiTheme="majorHAnsi"/>
        </w:rPr>
        <w:t>: 3000 ETH</w:t>
      </w:r>
    </w:p>
    <w:p w:rsidR="00501222" w:rsidRDefault="00594DEB" w:rsidP="00460C2C">
      <w:pPr>
        <w:rPr>
          <w:rFonts w:asciiTheme="majorHAnsi" w:hAnsiTheme="majorHAnsi"/>
          <w:i/>
        </w:rPr>
      </w:pPr>
      <w:r w:rsidRPr="003E1D02">
        <w:rPr>
          <w:rFonts w:asciiTheme="majorHAnsi" w:hAnsiTheme="majorHAnsi"/>
          <w:i/>
        </w:rPr>
        <w:t xml:space="preserve">Investors will get their contribution back if </w:t>
      </w:r>
      <w:r w:rsidRPr="003E1D02">
        <w:rPr>
          <w:rFonts w:asciiTheme="majorHAnsi" w:hAnsiTheme="majorHAnsi"/>
          <w:i/>
          <w:noProof/>
        </w:rPr>
        <w:t>soft</w:t>
      </w:r>
      <w:r w:rsidR="003E1D02">
        <w:rPr>
          <w:rFonts w:asciiTheme="majorHAnsi" w:hAnsiTheme="majorHAnsi"/>
          <w:i/>
        </w:rPr>
        <w:t xml:space="preserve"> cap is not reached.</w:t>
      </w:r>
    </w:p>
    <w:p w:rsidR="00594DEB" w:rsidRPr="003E1D02" w:rsidRDefault="00594DEB" w:rsidP="00460C2C">
      <w:pPr>
        <w:rPr>
          <w:rFonts w:asciiTheme="majorHAnsi" w:hAnsiTheme="majorHAnsi"/>
          <w:i/>
        </w:rPr>
      </w:pPr>
    </w:p>
    <w:p w:rsidR="00501222" w:rsidRDefault="00594DEB" w:rsidP="00460C2C">
      <w:pPr>
        <w:rPr>
          <w:rFonts w:asciiTheme="majorHAnsi" w:hAnsiTheme="majorHAnsi"/>
        </w:rPr>
      </w:pPr>
      <w:r w:rsidRPr="003E1D02">
        <w:rPr>
          <w:rFonts w:asciiTheme="majorHAnsi" w:hAnsiTheme="majorHAnsi"/>
          <w:b/>
          <w:noProof/>
        </w:rPr>
        <w:t>Hard</w:t>
      </w:r>
      <w:r w:rsidRPr="003E1D02">
        <w:rPr>
          <w:rFonts w:asciiTheme="majorHAnsi" w:hAnsiTheme="majorHAnsi"/>
          <w:b/>
        </w:rPr>
        <w:t xml:space="preserve"> cap</w:t>
      </w:r>
      <w:r w:rsidR="002E7E90">
        <w:rPr>
          <w:rFonts w:asciiTheme="majorHAnsi" w:hAnsiTheme="majorHAnsi"/>
        </w:rPr>
        <w:t xml:space="preserve">: </w:t>
      </w:r>
      <w:r w:rsidRPr="003E1D02">
        <w:rPr>
          <w:rFonts w:asciiTheme="majorHAnsi" w:hAnsiTheme="majorHAnsi"/>
        </w:rPr>
        <w:t>225,000 ETH (~€100 million)</w:t>
      </w:r>
    </w:p>
    <w:p w:rsidR="00594DEB" w:rsidRPr="003E1D02" w:rsidRDefault="00594DEB" w:rsidP="00460C2C">
      <w:pPr>
        <w:rPr>
          <w:rFonts w:asciiTheme="majorHAnsi" w:hAnsiTheme="majorHAnsi"/>
        </w:rPr>
      </w:pPr>
    </w:p>
    <w:p w:rsidR="00594DEB" w:rsidRDefault="00594DEB" w:rsidP="00460C2C">
      <w:pPr>
        <w:rPr>
          <w:rFonts w:asciiTheme="majorHAnsi" w:hAnsiTheme="majorHAnsi"/>
        </w:rPr>
      </w:pPr>
      <w:r w:rsidRPr="000904D4">
        <w:rPr>
          <w:rFonts w:asciiTheme="majorHAnsi" w:hAnsiTheme="majorHAnsi"/>
          <w:b/>
        </w:rPr>
        <w:t>Refund mechanism</w:t>
      </w:r>
      <w:r w:rsidRPr="000904D4">
        <w:rPr>
          <w:rFonts w:asciiTheme="majorHAnsi" w:hAnsiTheme="majorHAnsi"/>
        </w:rPr>
        <w:t xml:space="preserve">: </w:t>
      </w:r>
      <w:r w:rsidR="00A03061" w:rsidRPr="000904D4">
        <w:rPr>
          <w:rFonts w:asciiTheme="majorHAnsi" w:hAnsiTheme="majorHAnsi"/>
        </w:rPr>
        <w:t>ETH is sent to a refund-contract. Participants can then trigger a pull-function on the contract to claim back the ETH they invested from the same wallet that was used during the token sale</w:t>
      </w:r>
      <w:r w:rsidR="00A03061" w:rsidRPr="00F730AD">
        <w:rPr>
          <w:rFonts w:asciiTheme="majorHAnsi" w:hAnsiTheme="majorHAnsi"/>
          <w:noProof/>
        </w:rPr>
        <w:t>.</w:t>
      </w:r>
      <w:r w:rsidR="00F730AD">
        <w:rPr>
          <w:rFonts w:asciiTheme="majorHAnsi" w:hAnsiTheme="majorHAnsi"/>
          <w:noProof/>
        </w:rPr>
        <w:t xml:space="preserve"> </w:t>
      </w:r>
      <w:r w:rsidR="00A03061" w:rsidRPr="00F730AD">
        <w:rPr>
          <w:rFonts w:asciiTheme="majorHAnsi" w:hAnsiTheme="majorHAnsi"/>
          <w:noProof/>
        </w:rPr>
        <w:t>The</w:t>
      </w:r>
      <w:r w:rsidR="00A03061" w:rsidRPr="000904D4">
        <w:rPr>
          <w:rFonts w:asciiTheme="majorHAnsi" w:hAnsiTheme="majorHAnsi"/>
        </w:rPr>
        <w:t xml:space="preserve"> participant's transaction costs (</w:t>
      </w:r>
      <w:r w:rsidR="00A03061" w:rsidRPr="00514E99">
        <w:rPr>
          <w:rFonts w:asciiTheme="majorHAnsi" w:hAnsiTheme="majorHAnsi"/>
          <w:noProof/>
        </w:rPr>
        <w:t>GAS</w:t>
      </w:r>
      <w:r w:rsidR="00A03061" w:rsidRPr="000904D4">
        <w:rPr>
          <w:rFonts w:asciiTheme="majorHAnsi" w:hAnsiTheme="majorHAnsi"/>
        </w:rPr>
        <w:t xml:space="preserve"> fees) are not covered by the refund.</w:t>
      </w:r>
    </w:p>
    <w:p w:rsidR="003E1D02" w:rsidRPr="000904D4" w:rsidRDefault="003E1D02" w:rsidP="00460C2C">
      <w:pPr>
        <w:rPr>
          <w:rFonts w:asciiTheme="majorHAnsi" w:hAnsiTheme="majorHAnsi"/>
        </w:rPr>
      </w:pPr>
    </w:p>
    <w:p w:rsidR="00987EC3" w:rsidRDefault="00594DEB" w:rsidP="00460C2C">
      <w:pPr>
        <w:rPr>
          <w:rFonts w:asciiTheme="majorHAnsi" w:hAnsiTheme="majorHAnsi"/>
        </w:rPr>
      </w:pPr>
      <w:r w:rsidRPr="000904D4">
        <w:rPr>
          <w:rFonts w:asciiTheme="majorHAnsi" w:hAnsiTheme="majorHAnsi"/>
          <w:b/>
        </w:rPr>
        <w:t>Refund timeline</w:t>
      </w:r>
      <w:r w:rsidRPr="000904D4">
        <w:rPr>
          <w:rFonts w:asciiTheme="majorHAnsi" w:hAnsiTheme="majorHAnsi"/>
        </w:rPr>
        <w:t>: 30 days</w:t>
      </w:r>
    </w:p>
    <w:p w:rsidR="003E1D02" w:rsidRPr="000904D4" w:rsidRDefault="003E1D02" w:rsidP="00460C2C">
      <w:pPr>
        <w:rPr>
          <w:rFonts w:asciiTheme="majorHAnsi" w:hAnsiTheme="majorHAnsi"/>
        </w:rPr>
      </w:pPr>
    </w:p>
    <w:p w:rsidR="00594DEB" w:rsidRPr="000904D4" w:rsidRDefault="00307F04" w:rsidP="00460C2C">
      <w:pPr>
        <w:spacing w:line="259" w:lineRule="auto"/>
        <w:rPr>
          <w:rFonts w:asciiTheme="majorHAnsi" w:hAnsiTheme="majorHAnsi"/>
        </w:rPr>
      </w:pPr>
      <w:r w:rsidRPr="000904D4">
        <w:rPr>
          <w:rFonts w:asciiTheme="majorHAnsi" w:hAnsiTheme="majorHAnsi"/>
          <w:b/>
        </w:rPr>
        <w:t>Date range</w:t>
      </w:r>
      <w:r w:rsidR="00594DEB" w:rsidRPr="000904D4">
        <w:rPr>
          <w:rFonts w:asciiTheme="majorHAnsi" w:hAnsiTheme="majorHAnsi"/>
          <w:b/>
        </w:rPr>
        <w:t>s of offer</w:t>
      </w:r>
      <w:r w:rsidR="00594DEB" w:rsidRPr="000904D4">
        <w:rPr>
          <w:rFonts w:asciiTheme="majorHAnsi" w:hAnsiTheme="majorHAnsi"/>
        </w:rPr>
        <w:t>:</w:t>
      </w:r>
    </w:p>
    <w:p w:rsidR="008E41AF" w:rsidRPr="002E7E90" w:rsidRDefault="00594DEB" w:rsidP="00460C2C">
      <w:pPr>
        <w:pStyle w:val="Paragrafoelenco"/>
        <w:numPr>
          <w:ilvl w:val="0"/>
          <w:numId w:val="30"/>
        </w:numPr>
        <w:rPr>
          <w:rFonts w:asciiTheme="majorHAnsi" w:hAnsiTheme="majorHAnsi"/>
        </w:rPr>
      </w:pPr>
      <w:r w:rsidRPr="002E7E90">
        <w:rPr>
          <w:rFonts w:asciiTheme="majorHAnsi" w:hAnsiTheme="majorHAnsi"/>
        </w:rPr>
        <w:t>Phase 1: Star</w:t>
      </w:r>
      <w:r w:rsidR="008E41AF" w:rsidRPr="002E7E90">
        <w:rPr>
          <w:rFonts w:asciiTheme="majorHAnsi" w:hAnsiTheme="majorHAnsi"/>
        </w:rPr>
        <w:t>ting January 1 - Ending Feb 1</w:t>
      </w:r>
    </w:p>
    <w:p w:rsidR="00594DEB" w:rsidRPr="002E7E90" w:rsidRDefault="00594DEB" w:rsidP="00460C2C">
      <w:pPr>
        <w:pStyle w:val="Paragrafoelenco"/>
        <w:numPr>
          <w:ilvl w:val="1"/>
          <w:numId w:val="30"/>
        </w:numPr>
        <w:rPr>
          <w:rFonts w:asciiTheme="majorHAnsi" w:hAnsiTheme="majorHAnsi"/>
        </w:rPr>
      </w:pPr>
      <w:r w:rsidRPr="002E7E90">
        <w:rPr>
          <w:rFonts w:asciiTheme="majorHAnsi" w:hAnsiTheme="majorHAnsi"/>
        </w:rPr>
        <w:t>Price: 1500 tokens per ETH - Hard cap in ETH: 50,000</w:t>
      </w:r>
    </w:p>
    <w:p w:rsidR="008E41AF" w:rsidRPr="002E7E90" w:rsidRDefault="00594DEB" w:rsidP="00460C2C">
      <w:pPr>
        <w:pStyle w:val="Paragrafoelenco"/>
        <w:numPr>
          <w:ilvl w:val="0"/>
          <w:numId w:val="30"/>
        </w:numPr>
        <w:rPr>
          <w:rFonts w:asciiTheme="majorHAnsi" w:hAnsiTheme="majorHAnsi"/>
        </w:rPr>
      </w:pPr>
      <w:r w:rsidRPr="002E7E90">
        <w:rPr>
          <w:rFonts w:asciiTheme="majorHAnsi" w:hAnsiTheme="majorHAnsi"/>
        </w:rPr>
        <w:t>Phase 2: Starting Feb 2 - Ending March 1</w:t>
      </w:r>
    </w:p>
    <w:p w:rsidR="00594DEB" w:rsidRPr="002E7E90" w:rsidRDefault="00594DEB" w:rsidP="00460C2C">
      <w:pPr>
        <w:pStyle w:val="Paragrafoelenco"/>
        <w:numPr>
          <w:ilvl w:val="1"/>
          <w:numId w:val="30"/>
        </w:numPr>
        <w:rPr>
          <w:rFonts w:asciiTheme="majorHAnsi" w:hAnsiTheme="majorHAnsi"/>
        </w:rPr>
      </w:pPr>
      <w:r w:rsidRPr="002E7E90">
        <w:rPr>
          <w:rFonts w:asciiTheme="majorHAnsi" w:hAnsiTheme="majorHAnsi"/>
        </w:rPr>
        <w:t>Price: 1250 tokens per ETH - Hard cap in ETH: 75,000</w:t>
      </w:r>
    </w:p>
    <w:p w:rsidR="008E41AF" w:rsidRPr="002E7E90" w:rsidRDefault="00594DEB" w:rsidP="00460C2C">
      <w:pPr>
        <w:pStyle w:val="Paragrafoelenco"/>
        <w:numPr>
          <w:ilvl w:val="0"/>
          <w:numId w:val="30"/>
        </w:numPr>
        <w:rPr>
          <w:rFonts w:asciiTheme="majorHAnsi" w:hAnsiTheme="majorHAnsi"/>
        </w:rPr>
      </w:pPr>
      <w:r w:rsidRPr="002E7E90">
        <w:rPr>
          <w:rFonts w:asciiTheme="majorHAnsi" w:hAnsiTheme="majorHAnsi"/>
        </w:rPr>
        <w:t>Phase 3: Starting March 2 -Ending May 1</w:t>
      </w:r>
    </w:p>
    <w:p w:rsidR="00926B92" w:rsidRDefault="00594DEB" w:rsidP="00460C2C">
      <w:pPr>
        <w:pStyle w:val="Paragrafoelenco"/>
        <w:numPr>
          <w:ilvl w:val="1"/>
          <w:numId w:val="30"/>
        </w:numPr>
        <w:rPr>
          <w:rFonts w:asciiTheme="majorHAnsi" w:hAnsiTheme="majorHAnsi"/>
        </w:rPr>
      </w:pPr>
      <w:r w:rsidRPr="002E7E90">
        <w:rPr>
          <w:rFonts w:asciiTheme="majorHAnsi" w:hAnsiTheme="majorHAnsi"/>
        </w:rPr>
        <w:t>Price: 1000 tokens per ETH - Hard cap in ETH: 100,000</w:t>
      </w:r>
    </w:p>
    <w:p w:rsidR="0046569D" w:rsidRPr="0046569D" w:rsidRDefault="0046569D" w:rsidP="00460C2C">
      <w:pPr>
        <w:ind w:left="720"/>
        <w:rPr>
          <w:rFonts w:asciiTheme="majorHAnsi" w:hAnsiTheme="majorHAnsi"/>
        </w:rPr>
      </w:pPr>
    </w:p>
    <w:p w:rsidR="008E41AF" w:rsidRDefault="00594DEB" w:rsidP="00460C2C">
      <w:pPr>
        <w:rPr>
          <w:rFonts w:asciiTheme="majorHAnsi" w:hAnsiTheme="majorHAnsi"/>
        </w:rPr>
      </w:pPr>
      <w:r w:rsidRPr="000904D4">
        <w:rPr>
          <w:rFonts w:asciiTheme="majorHAnsi" w:hAnsiTheme="majorHAnsi"/>
          <w:b/>
        </w:rPr>
        <w:t>Number o</w:t>
      </w:r>
      <w:r w:rsidR="00A103C8" w:rsidRPr="000904D4">
        <w:rPr>
          <w:rFonts w:asciiTheme="majorHAnsi" w:hAnsiTheme="majorHAnsi"/>
          <w:b/>
        </w:rPr>
        <w:t xml:space="preserve">f tokens to be issued and </w:t>
      </w:r>
      <w:r w:rsidRPr="000904D4">
        <w:rPr>
          <w:rFonts w:asciiTheme="majorHAnsi" w:hAnsiTheme="majorHAnsi"/>
          <w:b/>
        </w:rPr>
        <w:t>features</w:t>
      </w:r>
      <w:r w:rsidR="00901CD7">
        <w:rPr>
          <w:rFonts w:asciiTheme="majorHAnsi" w:hAnsiTheme="majorHAnsi"/>
          <w:b/>
        </w:rPr>
        <w:t xml:space="preserve">: </w:t>
      </w:r>
      <w:r w:rsidR="002E7E90" w:rsidRPr="002E7E90">
        <w:rPr>
          <w:rFonts w:asciiTheme="majorHAnsi" w:hAnsiTheme="majorHAnsi"/>
          <w:color w:val="FF0000"/>
        </w:rPr>
        <w:t>Number?</w:t>
      </w:r>
      <w:r w:rsidR="002E7E90">
        <w:rPr>
          <w:rFonts w:asciiTheme="majorHAnsi" w:hAnsiTheme="majorHAnsi"/>
          <w:b/>
        </w:rPr>
        <w:t xml:space="preserve"> </w:t>
      </w:r>
      <w:r w:rsidR="00A103C8" w:rsidRPr="000904D4">
        <w:rPr>
          <w:rFonts w:asciiTheme="majorHAnsi" w:hAnsiTheme="majorHAnsi"/>
        </w:rPr>
        <w:t xml:space="preserve">CFX Token will be </w:t>
      </w:r>
      <w:r w:rsidR="00A103C8" w:rsidRPr="000904D4">
        <w:rPr>
          <w:rFonts w:asciiTheme="majorHAnsi" w:hAnsiTheme="majorHAnsi"/>
          <w:noProof/>
        </w:rPr>
        <w:t>a</w:t>
      </w:r>
      <w:r w:rsidR="00272F82" w:rsidRPr="000904D4">
        <w:rPr>
          <w:rFonts w:asciiTheme="majorHAnsi" w:hAnsiTheme="majorHAnsi"/>
          <w:noProof/>
        </w:rPr>
        <w:t>n</w:t>
      </w:r>
      <w:r w:rsidR="00D72775">
        <w:rPr>
          <w:rFonts w:asciiTheme="majorHAnsi" w:hAnsiTheme="majorHAnsi"/>
          <w:noProof/>
        </w:rPr>
        <w:t xml:space="preserve"> </w:t>
      </w:r>
      <w:r w:rsidRPr="000904D4">
        <w:rPr>
          <w:rFonts w:asciiTheme="majorHAnsi" w:hAnsiTheme="majorHAnsi"/>
          <w:noProof/>
        </w:rPr>
        <w:t>ERC20</w:t>
      </w:r>
      <w:r w:rsidRPr="000904D4">
        <w:rPr>
          <w:rFonts w:asciiTheme="majorHAnsi" w:hAnsiTheme="majorHAnsi"/>
        </w:rPr>
        <w:t xml:space="preserve"> Security Token on </w:t>
      </w:r>
      <w:r w:rsidR="00A103C8" w:rsidRPr="000904D4">
        <w:rPr>
          <w:rFonts w:asciiTheme="majorHAnsi" w:hAnsiTheme="majorHAnsi"/>
        </w:rPr>
        <w:t xml:space="preserve">the </w:t>
      </w:r>
      <w:r w:rsidRPr="000904D4">
        <w:rPr>
          <w:rFonts w:asciiTheme="majorHAnsi" w:hAnsiTheme="majorHAnsi"/>
        </w:rPr>
        <w:t>Ethereum Platform</w:t>
      </w:r>
      <w:r w:rsidR="00A103C8" w:rsidRPr="000904D4">
        <w:rPr>
          <w:rFonts w:asciiTheme="majorHAnsi" w:hAnsiTheme="majorHAnsi"/>
        </w:rPr>
        <w:t>.</w:t>
      </w:r>
    </w:p>
    <w:p w:rsidR="003E1D02" w:rsidRPr="000904D4" w:rsidRDefault="003E1D02" w:rsidP="00460C2C">
      <w:pPr>
        <w:rPr>
          <w:rFonts w:asciiTheme="majorHAnsi" w:hAnsiTheme="majorHAnsi"/>
        </w:rPr>
      </w:pPr>
    </w:p>
    <w:p w:rsidR="00594DEB" w:rsidRPr="000904D4" w:rsidRDefault="00594DEB" w:rsidP="00460C2C">
      <w:pPr>
        <w:spacing w:line="259" w:lineRule="auto"/>
        <w:rPr>
          <w:rFonts w:asciiTheme="majorHAnsi" w:hAnsiTheme="majorHAnsi"/>
        </w:rPr>
      </w:pPr>
      <w:r w:rsidRPr="000904D4">
        <w:rPr>
          <w:rFonts w:asciiTheme="majorHAnsi" w:hAnsiTheme="majorHAnsi"/>
          <w:b/>
        </w:rPr>
        <w:t>Token distribution</w:t>
      </w:r>
      <w:r w:rsidR="00EE702D">
        <w:rPr>
          <w:rFonts w:asciiTheme="majorHAnsi" w:hAnsiTheme="majorHAnsi"/>
          <w:b/>
        </w:rPr>
        <w:t>:</w:t>
      </w:r>
    </w:p>
    <w:p w:rsidR="00594DEB" w:rsidRPr="000904D4" w:rsidRDefault="00594DEB" w:rsidP="00460C2C">
      <w:pPr>
        <w:pStyle w:val="Paragrafoelenco"/>
        <w:numPr>
          <w:ilvl w:val="0"/>
          <w:numId w:val="15"/>
        </w:numPr>
        <w:spacing w:line="259" w:lineRule="auto"/>
        <w:rPr>
          <w:rFonts w:asciiTheme="majorHAnsi" w:hAnsiTheme="majorHAnsi"/>
        </w:rPr>
      </w:pPr>
      <w:r w:rsidRPr="000904D4">
        <w:rPr>
          <w:rFonts w:asciiTheme="majorHAnsi" w:hAnsiTheme="majorHAnsi"/>
        </w:rPr>
        <w:t>Total issuance: 100,000,000 CFX</w:t>
      </w:r>
    </w:p>
    <w:p w:rsidR="00594DEB" w:rsidRPr="003E1D02" w:rsidRDefault="00594DEB" w:rsidP="00460C2C">
      <w:pPr>
        <w:pStyle w:val="Paragrafoelenco"/>
        <w:numPr>
          <w:ilvl w:val="0"/>
          <w:numId w:val="15"/>
        </w:numPr>
        <w:spacing w:line="259" w:lineRule="auto"/>
        <w:rPr>
          <w:rFonts w:asciiTheme="majorHAnsi" w:hAnsiTheme="majorHAnsi"/>
        </w:rPr>
      </w:pPr>
      <w:r w:rsidRPr="003E1D02">
        <w:rPr>
          <w:rFonts w:asciiTheme="majorHAnsi" w:hAnsiTheme="majorHAnsi"/>
        </w:rPr>
        <w:lastRenderedPageBreak/>
        <w:t>Distributed in ICO: 51,000,000 CFX (51%)</w:t>
      </w:r>
    </w:p>
    <w:p w:rsidR="008E41AF" w:rsidRPr="003E1D02" w:rsidRDefault="00594DEB" w:rsidP="00460C2C">
      <w:pPr>
        <w:pStyle w:val="Paragrafoelenco"/>
        <w:numPr>
          <w:ilvl w:val="0"/>
          <w:numId w:val="15"/>
        </w:numPr>
        <w:spacing w:line="259" w:lineRule="auto"/>
        <w:rPr>
          <w:rFonts w:asciiTheme="majorHAnsi" w:hAnsiTheme="majorHAnsi"/>
        </w:rPr>
      </w:pPr>
      <w:r w:rsidRPr="003E1D02">
        <w:rPr>
          <w:rFonts w:asciiTheme="majorHAnsi" w:hAnsiTheme="majorHAnsi"/>
        </w:rPr>
        <w:t xml:space="preserve">Reserved for founders: </w:t>
      </w:r>
      <w:r w:rsidR="003E1D02">
        <w:rPr>
          <w:rFonts w:asciiTheme="majorHAnsi" w:hAnsiTheme="majorHAnsi"/>
          <w:color w:val="FF0000"/>
        </w:rPr>
        <w:t>?</w:t>
      </w:r>
      <w:r w:rsidRPr="003E1D02">
        <w:rPr>
          <w:rFonts w:asciiTheme="majorHAnsi" w:hAnsiTheme="majorHAnsi"/>
          <w:color w:val="FF0000"/>
        </w:rPr>
        <w:t xml:space="preserve"> CFX (x%)</w:t>
      </w:r>
    </w:p>
    <w:p w:rsidR="003E1D02" w:rsidRPr="003E1D02" w:rsidRDefault="003E1D02" w:rsidP="00460C2C">
      <w:pPr>
        <w:pStyle w:val="Paragrafoelenco"/>
        <w:spacing w:line="259" w:lineRule="auto"/>
        <w:ind w:left="360"/>
        <w:rPr>
          <w:rFonts w:asciiTheme="majorHAnsi" w:hAnsiTheme="majorHAnsi"/>
        </w:rPr>
      </w:pPr>
    </w:p>
    <w:p w:rsidR="00594DEB" w:rsidRPr="003E1D02" w:rsidRDefault="00C504C3" w:rsidP="00460C2C">
      <w:pPr>
        <w:spacing w:line="259" w:lineRule="auto"/>
        <w:rPr>
          <w:rFonts w:asciiTheme="majorHAnsi" w:hAnsiTheme="majorHAnsi"/>
          <w:b/>
        </w:rPr>
      </w:pPr>
      <w:r w:rsidRPr="003E1D02">
        <w:rPr>
          <w:rFonts w:asciiTheme="majorHAnsi" w:hAnsiTheme="majorHAnsi"/>
          <w:b/>
        </w:rPr>
        <w:t>Token exchange rate</w:t>
      </w:r>
      <w:r w:rsidR="00EE702D">
        <w:rPr>
          <w:rFonts w:asciiTheme="majorHAnsi" w:hAnsiTheme="majorHAnsi"/>
          <w:b/>
        </w:rPr>
        <w:t>:</w:t>
      </w:r>
    </w:p>
    <w:p w:rsidR="00594DEB" w:rsidRPr="000904D4" w:rsidRDefault="00594DEB" w:rsidP="00460C2C">
      <w:pPr>
        <w:pStyle w:val="Paragrafoelenco"/>
        <w:numPr>
          <w:ilvl w:val="0"/>
          <w:numId w:val="16"/>
        </w:numPr>
        <w:spacing w:line="259" w:lineRule="auto"/>
        <w:rPr>
          <w:rFonts w:asciiTheme="majorHAnsi" w:hAnsiTheme="majorHAnsi"/>
        </w:rPr>
      </w:pPr>
      <w:r w:rsidRPr="000904D4">
        <w:rPr>
          <w:rFonts w:asciiTheme="majorHAnsi" w:hAnsiTheme="majorHAnsi"/>
        </w:rPr>
        <w:t>Phase 1: 0.00067. ETH</w:t>
      </w:r>
    </w:p>
    <w:p w:rsidR="00594DEB" w:rsidRPr="000904D4" w:rsidRDefault="00594DEB" w:rsidP="00460C2C">
      <w:pPr>
        <w:pStyle w:val="Paragrafoelenco"/>
        <w:numPr>
          <w:ilvl w:val="0"/>
          <w:numId w:val="16"/>
        </w:numPr>
        <w:spacing w:line="259" w:lineRule="auto"/>
        <w:rPr>
          <w:rFonts w:asciiTheme="majorHAnsi" w:hAnsiTheme="majorHAnsi"/>
        </w:rPr>
      </w:pPr>
      <w:r w:rsidRPr="000904D4">
        <w:rPr>
          <w:rFonts w:asciiTheme="majorHAnsi" w:hAnsiTheme="majorHAnsi"/>
        </w:rPr>
        <w:t>Phase 2: 0.0008 ETH</w:t>
      </w:r>
    </w:p>
    <w:p w:rsidR="008E41AF" w:rsidRDefault="00594DEB" w:rsidP="00460C2C">
      <w:pPr>
        <w:pStyle w:val="Paragrafoelenco"/>
        <w:numPr>
          <w:ilvl w:val="0"/>
          <w:numId w:val="16"/>
        </w:numPr>
        <w:spacing w:line="259" w:lineRule="auto"/>
        <w:rPr>
          <w:rFonts w:asciiTheme="majorHAnsi" w:hAnsiTheme="majorHAnsi"/>
        </w:rPr>
      </w:pPr>
      <w:r w:rsidRPr="000904D4">
        <w:rPr>
          <w:rFonts w:asciiTheme="majorHAnsi" w:hAnsiTheme="majorHAnsi"/>
        </w:rPr>
        <w:t>Phase 3: 0.001 ETH</w:t>
      </w:r>
    </w:p>
    <w:p w:rsidR="003E1D02" w:rsidRPr="000904D4" w:rsidRDefault="003E1D02" w:rsidP="00460C2C">
      <w:pPr>
        <w:pStyle w:val="Paragrafoelenco"/>
        <w:spacing w:line="259" w:lineRule="auto"/>
        <w:ind w:left="360"/>
        <w:rPr>
          <w:rFonts w:asciiTheme="majorHAnsi" w:hAnsiTheme="majorHAnsi"/>
        </w:rPr>
      </w:pPr>
    </w:p>
    <w:p w:rsidR="003E1D02" w:rsidRDefault="00594DEB" w:rsidP="00460C2C">
      <w:pPr>
        <w:spacing w:line="259" w:lineRule="auto"/>
        <w:rPr>
          <w:rFonts w:asciiTheme="majorHAnsi" w:hAnsiTheme="majorHAnsi"/>
        </w:rPr>
      </w:pPr>
      <w:r w:rsidRPr="003E1D02">
        <w:rPr>
          <w:rFonts w:asciiTheme="majorHAnsi" w:hAnsiTheme="majorHAnsi"/>
          <w:b/>
        </w:rPr>
        <w:t>Token delivery methods and</w:t>
      </w:r>
      <w:r w:rsidR="00C504C3" w:rsidRPr="003E1D02">
        <w:rPr>
          <w:rFonts w:asciiTheme="majorHAnsi" w:hAnsiTheme="majorHAnsi"/>
          <w:b/>
        </w:rPr>
        <w:t xml:space="preserve"> time-limits</w:t>
      </w:r>
      <w:r w:rsidR="003E1D02" w:rsidRPr="003E1D02">
        <w:rPr>
          <w:rFonts w:asciiTheme="majorHAnsi" w:hAnsiTheme="majorHAnsi"/>
          <w:b/>
        </w:rPr>
        <w:t xml:space="preserve">: </w:t>
      </w:r>
      <w:r w:rsidRPr="003E1D02">
        <w:rPr>
          <w:rFonts w:asciiTheme="majorHAnsi" w:hAnsiTheme="majorHAnsi"/>
        </w:rPr>
        <w:t xml:space="preserve">Instant transfer to contributor’s ETH address. </w:t>
      </w:r>
      <w:r w:rsidRPr="003E1D02">
        <w:rPr>
          <w:rFonts w:asciiTheme="majorHAnsi" w:hAnsiTheme="majorHAnsi"/>
          <w:noProof/>
        </w:rPr>
        <w:t>Duration</w:t>
      </w:r>
      <w:r w:rsidR="00DC4357" w:rsidRPr="003E1D02">
        <w:rPr>
          <w:rFonts w:asciiTheme="majorHAnsi" w:hAnsiTheme="majorHAnsi"/>
          <w:noProof/>
        </w:rPr>
        <w:t>-</w:t>
      </w:r>
      <w:r w:rsidRPr="003E1D02">
        <w:rPr>
          <w:rFonts w:asciiTheme="majorHAnsi" w:hAnsiTheme="majorHAnsi"/>
          <w:noProof/>
        </w:rPr>
        <w:t>dependent</w:t>
      </w:r>
      <w:r w:rsidRPr="003E1D02">
        <w:rPr>
          <w:rFonts w:asciiTheme="majorHAnsi" w:hAnsiTheme="majorHAnsi"/>
        </w:rPr>
        <w:t xml:space="preserve"> on network load, and subject to periods of congestion. Median time 2.5 min</w:t>
      </w:r>
      <w:r w:rsidR="008A5337" w:rsidRPr="003E1D02">
        <w:rPr>
          <w:rFonts w:asciiTheme="majorHAnsi" w:hAnsiTheme="majorHAnsi"/>
        </w:rPr>
        <w:t>utes.</w:t>
      </w:r>
    </w:p>
    <w:p w:rsidR="003E1D02" w:rsidRPr="003E1D02" w:rsidRDefault="003E1D02" w:rsidP="00460C2C">
      <w:pPr>
        <w:spacing w:line="259" w:lineRule="auto"/>
        <w:rPr>
          <w:rFonts w:asciiTheme="majorHAnsi" w:hAnsiTheme="majorHAnsi"/>
        </w:rPr>
      </w:pPr>
    </w:p>
    <w:p w:rsidR="00594DEB" w:rsidRPr="003E1D02" w:rsidRDefault="00594DEB" w:rsidP="00460C2C">
      <w:pPr>
        <w:spacing w:line="259" w:lineRule="auto"/>
        <w:rPr>
          <w:rFonts w:asciiTheme="majorHAnsi" w:hAnsiTheme="majorHAnsi"/>
          <w:b/>
        </w:rPr>
      </w:pPr>
      <w:r w:rsidRPr="003E1D02">
        <w:rPr>
          <w:rFonts w:asciiTheme="majorHAnsi" w:hAnsiTheme="majorHAnsi"/>
          <w:b/>
        </w:rPr>
        <w:t>Early investor bonuses</w:t>
      </w:r>
    </w:p>
    <w:p w:rsidR="00594DEB" w:rsidRPr="003E1D02" w:rsidRDefault="00594DEB" w:rsidP="00460C2C">
      <w:pPr>
        <w:pStyle w:val="Paragrafoelenco"/>
        <w:numPr>
          <w:ilvl w:val="0"/>
          <w:numId w:val="17"/>
        </w:numPr>
        <w:spacing w:line="259" w:lineRule="auto"/>
        <w:rPr>
          <w:rFonts w:asciiTheme="majorHAnsi" w:hAnsiTheme="majorHAnsi"/>
        </w:rPr>
      </w:pPr>
      <w:r w:rsidRPr="003E1D02">
        <w:rPr>
          <w:rFonts w:asciiTheme="majorHAnsi" w:hAnsiTheme="majorHAnsi"/>
        </w:rPr>
        <w:t>Phase 1: 50%</w:t>
      </w:r>
    </w:p>
    <w:p w:rsidR="00594DEB" w:rsidRPr="003E1D02" w:rsidRDefault="00594DEB" w:rsidP="00460C2C">
      <w:pPr>
        <w:pStyle w:val="Paragrafoelenco"/>
        <w:numPr>
          <w:ilvl w:val="0"/>
          <w:numId w:val="17"/>
        </w:numPr>
        <w:spacing w:line="259" w:lineRule="auto"/>
        <w:rPr>
          <w:rFonts w:asciiTheme="majorHAnsi" w:hAnsiTheme="majorHAnsi"/>
        </w:rPr>
      </w:pPr>
      <w:r w:rsidRPr="003E1D02">
        <w:rPr>
          <w:rFonts w:asciiTheme="majorHAnsi" w:hAnsiTheme="majorHAnsi"/>
        </w:rPr>
        <w:t>Phase 2: 25%</w:t>
      </w:r>
    </w:p>
    <w:p w:rsidR="00594DEB" w:rsidRDefault="00594DEB" w:rsidP="00460C2C">
      <w:pPr>
        <w:pStyle w:val="Paragrafoelenco"/>
        <w:numPr>
          <w:ilvl w:val="0"/>
          <w:numId w:val="17"/>
        </w:numPr>
        <w:spacing w:line="259" w:lineRule="auto"/>
        <w:rPr>
          <w:rFonts w:asciiTheme="majorHAnsi" w:hAnsiTheme="majorHAnsi"/>
        </w:rPr>
      </w:pPr>
      <w:r w:rsidRPr="003E1D02">
        <w:rPr>
          <w:rFonts w:asciiTheme="majorHAnsi" w:hAnsiTheme="majorHAnsi"/>
        </w:rPr>
        <w:t>Phase 3: 0%</w:t>
      </w:r>
    </w:p>
    <w:p w:rsidR="003E1D02" w:rsidRPr="003E1D02" w:rsidRDefault="003E1D02" w:rsidP="00460C2C">
      <w:pPr>
        <w:pStyle w:val="Paragrafoelenco"/>
        <w:spacing w:line="259" w:lineRule="auto"/>
        <w:ind w:left="360"/>
        <w:rPr>
          <w:rFonts w:asciiTheme="majorHAnsi" w:hAnsiTheme="majorHAnsi"/>
        </w:rPr>
      </w:pPr>
    </w:p>
    <w:p w:rsidR="00594DEB" w:rsidRDefault="00594DEB" w:rsidP="00460C2C">
      <w:pPr>
        <w:spacing w:line="259" w:lineRule="auto"/>
        <w:rPr>
          <w:rFonts w:asciiTheme="majorHAnsi" w:hAnsiTheme="majorHAnsi"/>
        </w:rPr>
      </w:pPr>
      <w:r w:rsidRPr="003E1D02">
        <w:rPr>
          <w:rFonts w:asciiTheme="majorHAnsi" w:hAnsiTheme="majorHAnsi"/>
          <w:b/>
        </w:rPr>
        <w:t>Smart contract voluntary withdrawal period (if any)</w:t>
      </w:r>
      <w:r w:rsidRPr="003E1D02">
        <w:rPr>
          <w:rFonts w:asciiTheme="majorHAnsi" w:hAnsiTheme="majorHAnsi"/>
        </w:rPr>
        <w:t>:</w:t>
      </w:r>
      <w:r w:rsidR="006F1A27">
        <w:rPr>
          <w:rFonts w:asciiTheme="majorHAnsi" w:hAnsiTheme="majorHAnsi"/>
        </w:rPr>
        <w:t xml:space="preserve"> None</w:t>
      </w:r>
    </w:p>
    <w:p w:rsidR="003E1D02" w:rsidRPr="003E1D02" w:rsidRDefault="003E1D02" w:rsidP="00460C2C">
      <w:pPr>
        <w:spacing w:line="259" w:lineRule="auto"/>
        <w:rPr>
          <w:rFonts w:asciiTheme="majorHAnsi" w:hAnsiTheme="majorHAnsi"/>
          <w:b/>
        </w:rPr>
      </w:pPr>
    </w:p>
    <w:p w:rsidR="0017605C" w:rsidRPr="003E1D02" w:rsidRDefault="00594DEB" w:rsidP="00460C2C">
      <w:pPr>
        <w:spacing w:line="259" w:lineRule="auto"/>
        <w:rPr>
          <w:rFonts w:asciiTheme="majorHAnsi" w:hAnsiTheme="majorHAnsi"/>
        </w:rPr>
      </w:pPr>
      <w:r w:rsidRPr="003E1D02">
        <w:rPr>
          <w:rFonts w:asciiTheme="majorHAnsi" w:hAnsiTheme="majorHAnsi"/>
          <w:b/>
        </w:rPr>
        <w:t>Free transferability restrictions (if any) on token</w:t>
      </w:r>
      <w:r w:rsidRPr="003E1D02">
        <w:rPr>
          <w:rFonts w:asciiTheme="majorHAnsi" w:hAnsiTheme="majorHAnsi"/>
        </w:rPr>
        <w:t>:</w:t>
      </w:r>
      <w:r w:rsidR="0017605C" w:rsidRPr="003E1D02">
        <w:rPr>
          <w:rFonts w:asciiTheme="majorHAnsi" w:hAnsiTheme="majorHAnsi"/>
        </w:rPr>
        <w:t xml:space="preserve"> Only whitelisted wallets can receive the CFX token. It is impossible to own the token without approval from CFX.</w:t>
      </w:r>
      <w:r w:rsidR="003E1D02">
        <w:rPr>
          <w:rFonts w:asciiTheme="majorHAnsi" w:hAnsiTheme="majorHAnsi"/>
        </w:rPr>
        <w:t xml:space="preserve"> </w:t>
      </w:r>
      <w:r w:rsidR="0017605C" w:rsidRPr="003E1D02">
        <w:rPr>
          <w:rFonts w:asciiTheme="majorHAnsi" w:hAnsiTheme="majorHAnsi"/>
        </w:rPr>
        <w:t xml:space="preserve">This whitelisting functionality can be turned off, but only by the CFX owner </w:t>
      </w:r>
      <w:r w:rsidR="0017605C" w:rsidRPr="00F730AD">
        <w:rPr>
          <w:rFonts w:asciiTheme="majorHAnsi" w:hAnsiTheme="majorHAnsi"/>
          <w:noProof/>
        </w:rPr>
        <w:t>themself</w:t>
      </w:r>
      <w:r w:rsidR="0017605C" w:rsidRPr="003E1D02">
        <w:rPr>
          <w:rFonts w:asciiTheme="majorHAnsi" w:hAnsiTheme="majorHAnsi"/>
        </w:rPr>
        <w:t xml:space="preserve">. Activators are able to whitelist wallet addresses to hold the token, and only CFX </w:t>
      </w:r>
      <w:r w:rsidR="0017605C" w:rsidRPr="00F730AD">
        <w:rPr>
          <w:rFonts w:asciiTheme="majorHAnsi" w:hAnsiTheme="majorHAnsi"/>
          <w:noProof/>
        </w:rPr>
        <w:t>owners</w:t>
      </w:r>
      <w:r w:rsidR="00F730AD">
        <w:rPr>
          <w:rFonts w:asciiTheme="majorHAnsi" w:hAnsiTheme="majorHAnsi"/>
          <w:noProof/>
        </w:rPr>
        <w:t xml:space="preserve"> </w:t>
      </w:r>
      <w:r w:rsidR="0017605C" w:rsidRPr="00F730AD">
        <w:rPr>
          <w:rFonts w:asciiTheme="majorHAnsi" w:hAnsiTheme="majorHAnsi"/>
          <w:noProof/>
        </w:rPr>
        <w:t>are</w:t>
      </w:r>
      <w:r w:rsidR="0017605C" w:rsidRPr="003E1D02">
        <w:rPr>
          <w:rFonts w:asciiTheme="majorHAnsi" w:hAnsiTheme="majorHAnsi"/>
        </w:rPr>
        <w:t xml:space="preserve"> able to give others the Activator role. An activator could, for example, be a security token exchange that wants to allow trading with the token.</w:t>
      </w:r>
    </w:p>
    <w:p w:rsidR="000904D4" w:rsidRPr="003E1D02" w:rsidRDefault="000904D4" w:rsidP="00460C2C">
      <w:pPr>
        <w:spacing w:line="259" w:lineRule="auto"/>
        <w:rPr>
          <w:rFonts w:asciiTheme="majorHAnsi" w:hAnsiTheme="majorHAnsi"/>
        </w:rPr>
      </w:pPr>
    </w:p>
    <w:p w:rsidR="00594DEB" w:rsidRPr="003E1D02" w:rsidRDefault="00594DEB" w:rsidP="00460C2C">
      <w:pPr>
        <w:spacing w:line="259" w:lineRule="auto"/>
        <w:rPr>
          <w:rFonts w:asciiTheme="majorHAnsi" w:hAnsiTheme="majorHAnsi"/>
        </w:rPr>
      </w:pPr>
      <w:r w:rsidRPr="003E1D02">
        <w:rPr>
          <w:rFonts w:asciiTheme="majorHAnsi" w:hAnsiTheme="majorHAnsi"/>
          <w:b/>
        </w:rPr>
        <w:t>Free transferability restrictions on exchange/s on which token may be traded:</w:t>
      </w:r>
      <w:r w:rsidR="003E1D02" w:rsidRPr="003E1D02">
        <w:rPr>
          <w:rFonts w:asciiTheme="majorHAnsi" w:hAnsiTheme="majorHAnsi"/>
        </w:rPr>
        <w:t xml:space="preserve"> </w:t>
      </w:r>
      <w:r w:rsidRPr="003E1D02">
        <w:rPr>
          <w:rFonts w:asciiTheme="majorHAnsi" w:hAnsiTheme="majorHAnsi"/>
        </w:rPr>
        <w:t>None</w:t>
      </w:r>
    </w:p>
    <w:p w:rsidR="003E1D02" w:rsidRPr="003E1D02" w:rsidRDefault="003E1D02" w:rsidP="00460C2C">
      <w:pPr>
        <w:spacing w:line="259" w:lineRule="auto"/>
        <w:rPr>
          <w:rFonts w:asciiTheme="majorHAnsi" w:hAnsiTheme="majorHAnsi"/>
        </w:rPr>
      </w:pPr>
    </w:p>
    <w:p w:rsidR="00594DEB" w:rsidRPr="003E1D02" w:rsidRDefault="00594DEB" w:rsidP="00460C2C">
      <w:pPr>
        <w:spacing w:line="259" w:lineRule="auto"/>
        <w:rPr>
          <w:rFonts w:asciiTheme="majorHAnsi" w:hAnsiTheme="majorHAnsi"/>
        </w:rPr>
      </w:pPr>
      <w:r w:rsidRPr="003E1D02">
        <w:rPr>
          <w:rFonts w:asciiTheme="majorHAnsi" w:hAnsiTheme="majorHAnsi"/>
          <w:b/>
        </w:rPr>
        <w:t>Payment methods:</w:t>
      </w:r>
      <w:r w:rsidR="003E1D02" w:rsidRPr="003E1D02">
        <w:rPr>
          <w:rFonts w:asciiTheme="majorHAnsi" w:hAnsiTheme="majorHAnsi"/>
        </w:rPr>
        <w:t xml:space="preserve"> </w:t>
      </w:r>
      <w:r w:rsidRPr="003E1D02">
        <w:rPr>
          <w:rFonts w:asciiTheme="majorHAnsi" w:hAnsiTheme="majorHAnsi"/>
        </w:rPr>
        <w:t xml:space="preserve">ETH, BTC, EUR </w:t>
      </w:r>
    </w:p>
    <w:p w:rsidR="003E1D02" w:rsidRPr="003E1D02" w:rsidRDefault="003E1D02" w:rsidP="00460C2C">
      <w:pPr>
        <w:spacing w:line="259" w:lineRule="auto"/>
        <w:rPr>
          <w:rFonts w:asciiTheme="majorHAnsi" w:hAnsiTheme="majorHAnsi"/>
        </w:rPr>
      </w:pPr>
    </w:p>
    <w:p w:rsidR="00501222" w:rsidRDefault="00594DEB" w:rsidP="00460C2C">
      <w:pPr>
        <w:spacing w:line="259" w:lineRule="auto"/>
        <w:rPr>
          <w:rFonts w:asciiTheme="majorHAnsi" w:hAnsiTheme="majorHAnsi"/>
          <w:color w:val="FF0000"/>
        </w:rPr>
      </w:pPr>
      <w:r w:rsidRPr="003E1D02">
        <w:rPr>
          <w:rFonts w:asciiTheme="majorHAnsi" w:hAnsiTheme="majorHAnsi"/>
          <w:b/>
        </w:rPr>
        <w:t>Taxes</w:t>
      </w:r>
      <w:r w:rsidRPr="003E1D02">
        <w:rPr>
          <w:rFonts w:asciiTheme="majorHAnsi" w:hAnsiTheme="majorHAnsi"/>
        </w:rPr>
        <w:t>:</w:t>
      </w:r>
      <w:r w:rsidR="003E1D02">
        <w:rPr>
          <w:rFonts w:asciiTheme="majorHAnsi" w:hAnsiTheme="majorHAnsi"/>
        </w:rPr>
        <w:t xml:space="preserve"> </w:t>
      </w:r>
      <w:r w:rsidR="003E1D02" w:rsidRPr="003E1D02">
        <w:rPr>
          <w:rFonts w:asciiTheme="majorHAnsi" w:hAnsiTheme="majorHAnsi"/>
          <w:color w:val="FF0000"/>
        </w:rPr>
        <w:t>TBD</w:t>
      </w:r>
    </w:p>
    <w:p w:rsidR="00594DEB" w:rsidRPr="003E1D02" w:rsidRDefault="00594DEB" w:rsidP="00460C2C">
      <w:pPr>
        <w:spacing w:line="259" w:lineRule="auto"/>
        <w:rPr>
          <w:rFonts w:asciiTheme="majorHAnsi" w:hAnsiTheme="majorHAnsi"/>
        </w:rPr>
      </w:pPr>
    </w:p>
    <w:p w:rsidR="008E41AF" w:rsidRDefault="008E41AF" w:rsidP="00460C2C">
      <w:pPr>
        <w:spacing w:line="259" w:lineRule="auto"/>
        <w:rPr>
          <w:rFonts w:asciiTheme="majorHAnsi" w:hAnsiTheme="majorHAnsi"/>
        </w:rPr>
      </w:pPr>
      <w:r w:rsidRPr="003E1D02">
        <w:rPr>
          <w:rFonts w:asciiTheme="majorHAnsi" w:hAnsiTheme="majorHAnsi"/>
          <w:b/>
        </w:rPr>
        <w:t>VFA agent</w:t>
      </w:r>
      <w:r w:rsidRPr="003E1D02">
        <w:rPr>
          <w:rFonts w:asciiTheme="majorHAnsi" w:hAnsiTheme="majorHAnsi"/>
        </w:rPr>
        <w:t>:</w:t>
      </w:r>
      <w:r w:rsidR="003E1D02">
        <w:rPr>
          <w:rFonts w:asciiTheme="majorHAnsi" w:hAnsiTheme="majorHAnsi"/>
        </w:rPr>
        <w:t xml:space="preserve"> </w:t>
      </w:r>
      <w:r w:rsidR="003E1D02" w:rsidRPr="003E1D02">
        <w:rPr>
          <w:rFonts w:asciiTheme="majorHAnsi" w:hAnsiTheme="majorHAnsi"/>
          <w:color w:val="FF0000"/>
        </w:rPr>
        <w:t>TBD</w:t>
      </w:r>
    </w:p>
    <w:p w:rsidR="003E1D02" w:rsidRPr="003E1D02" w:rsidRDefault="003E1D02" w:rsidP="00460C2C">
      <w:pPr>
        <w:spacing w:line="259" w:lineRule="auto"/>
        <w:rPr>
          <w:rFonts w:asciiTheme="majorHAnsi" w:hAnsiTheme="majorHAnsi"/>
        </w:rPr>
      </w:pPr>
    </w:p>
    <w:p w:rsidR="003E1D02" w:rsidRDefault="008E41AF" w:rsidP="00460C2C">
      <w:pPr>
        <w:tabs>
          <w:tab w:val="left" w:pos="3475"/>
        </w:tabs>
        <w:spacing w:line="259" w:lineRule="auto"/>
        <w:rPr>
          <w:rFonts w:asciiTheme="majorHAnsi" w:hAnsiTheme="majorHAnsi"/>
        </w:rPr>
      </w:pPr>
      <w:r w:rsidRPr="003E1D02">
        <w:rPr>
          <w:rFonts w:asciiTheme="majorHAnsi" w:hAnsiTheme="majorHAnsi"/>
          <w:b/>
        </w:rPr>
        <w:t>Development team</w:t>
      </w:r>
      <w:r w:rsidR="00EE702D">
        <w:rPr>
          <w:rFonts w:asciiTheme="majorHAnsi" w:hAnsiTheme="majorHAnsi"/>
          <w:b/>
        </w:rPr>
        <w:t>:</w:t>
      </w:r>
    </w:p>
    <w:p w:rsidR="00EE702D" w:rsidRPr="002530AA" w:rsidRDefault="002530AA" w:rsidP="00460C2C">
      <w:pPr>
        <w:tabs>
          <w:tab w:val="left" w:pos="3475"/>
        </w:tabs>
        <w:spacing w:line="259" w:lineRule="auto"/>
        <w:rPr>
          <w:rFonts w:asciiTheme="majorHAnsi" w:hAnsiTheme="majorHAnsi"/>
          <w:color w:val="FF0000"/>
        </w:rPr>
      </w:pPr>
      <w:r w:rsidRPr="002530AA">
        <w:rPr>
          <w:rFonts w:asciiTheme="majorHAnsi" w:hAnsiTheme="majorHAnsi"/>
          <w:color w:val="FF0000"/>
        </w:rPr>
        <w:t>?</w:t>
      </w:r>
      <w:r w:rsidR="00EE702D">
        <w:rPr>
          <w:rFonts w:asciiTheme="majorHAnsi" w:hAnsiTheme="majorHAnsi"/>
          <w:color w:val="FF0000"/>
        </w:rPr>
        <w:t xml:space="preserve">       ?</w:t>
      </w:r>
      <w:r w:rsidR="00EE702D" w:rsidRPr="00EE702D">
        <w:rPr>
          <w:rFonts w:asciiTheme="majorHAnsi" w:hAnsiTheme="majorHAnsi"/>
          <w:color w:val="FF0000"/>
        </w:rPr>
        <w:t xml:space="preserve"> </w:t>
      </w:r>
      <w:r w:rsidR="0046569D">
        <w:rPr>
          <w:rFonts w:asciiTheme="majorHAnsi" w:hAnsiTheme="majorHAnsi"/>
          <w:color w:val="FF0000"/>
        </w:rPr>
        <w:t xml:space="preserve">       ?       ? </w:t>
      </w:r>
    </w:p>
    <w:p w:rsidR="000904D4" w:rsidRPr="003E1D02" w:rsidRDefault="000904D4" w:rsidP="00460C2C">
      <w:pPr>
        <w:tabs>
          <w:tab w:val="left" w:pos="3475"/>
        </w:tabs>
        <w:spacing w:line="259" w:lineRule="auto"/>
        <w:rPr>
          <w:rFonts w:asciiTheme="majorHAnsi" w:hAnsiTheme="majorHAnsi"/>
        </w:rPr>
      </w:pPr>
    </w:p>
    <w:p w:rsidR="008E41AF" w:rsidRPr="002530AA" w:rsidRDefault="008E41AF" w:rsidP="00460C2C">
      <w:pPr>
        <w:spacing w:line="259" w:lineRule="auto"/>
        <w:rPr>
          <w:rFonts w:asciiTheme="majorHAnsi" w:hAnsiTheme="majorHAnsi"/>
        </w:rPr>
      </w:pPr>
      <w:r w:rsidRPr="003E1D02">
        <w:rPr>
          <w:rFonts w:asciiTheme="majorHAnsi" w:hAnsiTheme="majorHAnsi"/>
          <w:b/>
        </w:rPr>
        <w:lastRenderedPageBreak/>
        <w:t>Advisors</w:t>
      </w:r>
      <w:r w:rsidRPr="003E1D02">
        <w:rPr>
          <w:rFonts w:asciiTheme="majorHAnsi" w:hAnsiTheme="majorHAnsi"/>
        </w:rPr>
        <w:t xml:space="preserve">: ICO Launch Malta are technical advisors, by virtue of their token sale platform upon </w:t>
      </w:r>
      <w:r w:rsidRPr="002530AA">
        <w:rPr>
          <w:rFonts w:asciiTheme="majorHAnsi" w:hAnsiTheme="majorHAnsi"/>
        </w:rPr>
        <w:t>which the STO will run.</w:t>
      </w:r>
    </w:p>
    <w:p w:rsidR="000904D4" w:rsidRPr="002530AA" w:rsidRDefault="000904D4" w:rsidP="00460C2C">
      <w:pPr>
        <w:spacing w:line="259" w:lineRule="auto"/>
        <w:rPr>
          <w:rFonts w:asciiTheme="majorHAnsi" w:hAnsiTheme="majorHAnsi"/>
        </w:rPr>
      </w:pPr>
    </w:p>
    <w:p w:rsidR="002530AA" w:rsidRPr="002E7E90" w:rsidRDefault="008E41AF" w:rsidP="00460C2C">
      <w:pPr>
        <w:rPr>
          <w:rFonts w:asciiTheme="majorHAnsi" w:hAnsiTheme="majorHAnsi" w:cs="Arial"/>
        </w:rPr>
      </w:pPr>
      <w:r w:rsidRPr="002E7E90">
        <w:rPr>
          <w:rFonts w:asciiTheme="majorHAnsi" w:hAnsiTheme="majorHAnsi"/>
          <w:b/>
        </w:rPr>
        <w:t>Service providers</w:t>
      </w:r>
      <w:r w:rsidR="00EE702D" w:rsidRPr="002E7E90">
        <w:rPr>
          <w:rFonts w:asciiTheme="majorHAnsi" w:hAnsiTheme="majorHAnsi"/>
          <w:b/>
        </w:rPr>
        <w:t>:</w:t>
      </w:r>
    </w:p>
    <w:p w:rsidR="002E7E90" w:rsidRPr="002E7E90" w:rsidRDefault="002E7E90" w:rsidP="00460C2C">
      <w:pPr>
        <w:pStyle w:val="Paragrafoelenco"/>
        <w:numPr>
          <w:ilvl w:val="0"/>
          <w:numId w:val="29"/>
        </w:numPr>
        <w:rPr>
          <w:rFonts w:asciiTheme="majorHAnsi" w:hAnsiTheme="majorHAnsi"/>
          <w:spacing w:val="5"/>
          <w:shd w:val="clear" w:color="auto" w:fill="FFFFFF"/>
        </w:rPr>
      </w:pPr>
      <w:r w:rsidRPr="002E7E90">
        <w:rPr>
          <w:rFonts w:asciiTheme="majorHAnsi" w:hAnsiTheme="majorHAnsi"/>
        </w:rPr>
        <w:t>ICO Launch Malta</w:t>
      </w:r>
    </w:p>
    <w:p w:rsidR="002E7E90" w:rsidRPr="002E7E90" w:rsidRDefault="002E7E90" w:rsidP="00460C2C">
      <w:pPr>
        <w:pStyle w:val="Paragrafoelenco"/>
        <w:numPr>
          <w:ilvl w:val="0"/>
          <w:numId w:val="29"/>
        </w:numPr>
        <w:rPr>
          <w:rFonts w:asciiTheme="majorHAnsi" w:hAnsiTheme="majorHAnsi"/>
          <w:spacing w:val="5"/>
          <w:shd w:val="clear" w:color="auto" w:fill="FFFFFF"/>
        </w:rPr>
      </w:pPr>
      <w:r w:rsidRPr="002E7E90">
        <w:rPr>
          <w:rFonts w:asciiTheme="majorHAnsi" w:hAnsiTheme="majorHAnsi"/>
        </w:rPr>
        <w:t>EMD advocates</w:t>
      </w:r>
    </w:p>
    <w:p w:rsidR="002530AA" w:rsidRPr="002E7E90" w:rsidRDefault="002E7E90" w:rsidP="00460C2C">
      <w:pPr>
        <w:pStyle w:val="Paragrafoelenco"/>
        <w:numPr>
          <w:ilvl w:val="0"/>
          <w:numId w:val="29"/>
        </w:numPr>
        <w:rPr>
          <w:rFonts w:asciiTheme="majorHAnsi" w:hAnsiTheme="majorHAnsi"/>
          <w:spacing w:val="5"/>
          <w:shd w:val="clear" w:color="auto" w:fill="FFFFFF"/>
        </w:rPr>
      </w:pPr>
      <w:r w:rsidRPr="00F730AD">
        <w:rPr>
          <w:rFonts w:asciiTheme="majorHAnsi" w:hAnsiTheme="majorHAnsi" w:cs="Arial"/>
          <w:noProof/>
        </w:rPr>
        <w:t>IT</w:t>
      </w:r>
      <w:r w:rsidRPr="002E7E90">
        <w:rPr>
          <w:rFonts w:asciiTheme="majorHAnsi" w:hAnsiTheme="majorHAnsi" w:cs="Arial"/>
        </w:rPr>
        <w:t xml:space="preserve"> </w:t>
      </w:r>
      <w:r w:rsidRPr="00F730AD">
        <w:rPr>
          <w:rFonts w:asciiTheme="majorHAnsi" w:hAnsiTheme="majorHAnsi" w:cs="Arial"/>
          <w:noProof/>
        </w:rPr>
        <w:t>Legals</w:t>
      </w:r>
      <w:r w:rsidRPr="002E7E90">
        <w:rPr>
          <w:rFonts w:asciiTheme="majorHAnsi" w:hAnsiTheme="majorHAnsi" w:cs="Arial"/>
        </w:rPr>
        <w:t xml:space="preserve"> Ltd - AML compliance, 23, Level 1, Triq Giuseppe Calleja, Swatar - MSD2270 Msida (MT)</w:t>
      </w:r>
      <w:r w:rsidR="002530AA" w:rsidRPr="002E7E90">
        <w:rPr>
          <w:rFonts w:asciiTheme="majorHAnsi" w:hAnsiTheme="majorHAnsi" w:cs="Calibri"/>
          <w:lang w:val="en-US"/>
        </w:rPr>
        <w:t xml:space="preserve">GetAmbassador.com – relationship marketing software, </w:t>
      </w:r>
      <w:r w:rsidR="002530AA" w:rsidRPr="002E7E90">
        <w:rPr>
          <w:rFonts w:asciiTheme="majorHAnsi" w:hAnsiTheme="majorHAnsi"/>
          <w:spacing w:val="5"/>
          <w:shd w:val="clear" w:color="auto" w:fill="FFFFFF"/>
        </w:rPr>
        <w:t>333 W 7th Street, Ste 310</w:t>
      </w:r>
      <w:r w:rsidR="002530AA" w:rsidRPr="002E7E90">
        <w:rPr>
          <w:rFonts w:asciiTheme="majorHAnsi" w:hAnsiTheme="majorHAnsi"/>
          <w:spacing w:val="5"/>
        </w:rPr>
        <w:t xml:space="preserve">, </w:t>
      </w:r>
      <w:r w:rsidR="002530AA" w:rsidRPr="002E7E90">
        <w:rPr>
          <w:rFonts w:asciiTheme="majorHAnsi" w:hAnsiTheme="majorHAnsi"/>
          <w:spacing w:val="5"/>
          <w:shd w:val="clear" w:color="auto" w:fill="FFFFFF"/>
        </w:rPr>
        <w:t>Detroit -  Royal Oak, MI 48067 USA</w:t>
      </w:r>
    </w:p>
    <w:p w:rsidR="002530AA" w:rsidRPr="002E7E90" w:rsidRDefault="002530AA" w:rsidP="00460C2C">
      <w:pPr>
        <w:pStyle w:val="Paragrafoelenco"/>
        <w:numPr>
          <w:ilvl w:val="0"/>
          <w:numId w:val="29"/>
        </w:numPr>
        <w:rPr>
          <w:rFonts w:asciiTheme="majorHAnsi" w:hAnsiTheme="majorHAnsi" w:cs="Calibri"/>
          <w:lang w:val="en-US"/>
        </w:rPr>
      </w:pPr>
      <w:r w:rsidRPr="002E7E90">
        <w:rPr>
          <w:rFonts w:asciiTheme="majorHAnsi" w:hAnsiTheme="majorHAnsi" w:cs="Calibri"/>
          <w:lang w:val="en-US"/>
        </w:rPr>
        <w:t>Ivano Menabue - Big Data and Financial Platform Expert</w:t>
      </w:r>
    </w:p>
    <w:p w:rsidR="002530AA" w:rsidRPr="002E7E90" w:rsidRDefault="002530AA" w:rsidP="00460C2C">
      <w:pPr>
        <w:pStyle w:val="Paragrafoelenco"/>
        <w:numPr>
          <w:ilvl w:val="0"/>
          <w:numId w:val="29"/>
        </w:numPr>
        <w:rPr>
          <w:rFonts w:asciiTheme="majorHAnsi" w:hAnsiTheme="majorHAnsi" w:cs="Calibri"/>
          <w:lang w:val="en-US"/>
        </w:rPr>
      </w:pPr>
      <w:r w:rsidRPr="002E7E90">
        <w:rPr>
          <w:rFonts w:asciiTheme="majorHAnsi" w:hAnsiTheme="majorHAnsi" w:cs="Calibri"/>
          <w:lang w:val="en-US"/>
        </w:rPr>
        <w:t>Avramis Despotis - Trading System Expert</w:t>
      </w:r>
    </w:p>
    <w:p w:rsidR="002530AA" w:rsidRPr="002E7E90" w:rsidRDefault="002530AA" w:rsidP="00460C2C">
      <w:pPr>
        <w:pStyle w:val="Paragrafoelenco"/>
        <w:numPr>
          <w:ilvl w:val="0"/>
          <w:numId w:val="29"/>
        </w:numPr>
        <w:rPr>
          <w:rFonts w:asciiTheme="majorHAnsi" w:hAnsiTheme="majorHAnsi" w:cs="Calibri"/>
          <w:lang w:val="en-US"/>
        </w:rPr>
      </w:pPr>
      <w:r w:rsidRPr="002E7E90">
        <w:rPr>
          <w:rFonts w:asciiTheme="majorHAnsi" w:hAnsiTheme="majorHAnsi" w:cs="Calibri"/>
          <w:lang w:val="en-US"/>
        </w:rPr>
        <w:t xml:space="preserve">Abalone Asset Management, Malta </w:t>
      </w:r>
    </w:p>
    <w:p w:rsidR="002530AA" w:rsidRPr="002E7E90" w:rsidRDefault="002530AA" w:rsidP="00460C2C">
      <w:pPr>
        <w:pStyle w:val="Paragrafoelenco"/>
        <w:numPr>
          <w:ilvl w:val="0"/>
          <w:numId w:val="29"/>
        </w:numPr>
        <w:rPr>
          <w:rFonts w:asciiTheme="majorHAnsi" w:hAnsiTheme="majorHAnsi" w:cs="Calibri"/>
          <w:lang w:val="en-US"/>
        </w:rPr>
      </w:pPr>
      <w:r w:rsidRPr="002E7E90">
        <w:rPr>
          <w:rFonts w:asciiTheme="majorHAnsi" w:hAnsiTheme="majorHAnsi" w:cs="Calibri"/>
          <w:lang w:val="en-US"/>
        </w:rPr>
        <w:t xml:space="preserve">(descriptions in annex </w:t>
      </w:r>
      <w:r w:rsidR="00E5226B" w:rsidRPr="002E7E90">
        <w:rPr>
          <w:rFonts w:asciiTheme="majorHAnsi" w:hAnsiTheme="majorHAnsi" w:cs="Calibri"/>
          <w:lang w:val="en-US"/>
        </w:rPr>
        <w:t>PowerPoint</w:t>
      </w:r>
      <w:r w:rsidRPr="002E7E90">
        <w:rPr>
          <w:rFonts w:asciiTheme="majorHAnsi" w:hAnsiTheme="majorHAnsi" w:cs="Calibri"/>
          <w:lang w:val="en-US"/>
        </w:rPr>
        <w:t>)</w:t>
      </w:r>
    </w:p>
    <w:p w:rsidR="002530AA" w:rsidRPr="002530AA" w:rsidRDefault="002530AA" w:rsidP="00460C2C">
      <w:pPr>
        <w:spacing w:line="259" w:lineRule="auto"/>
        <w:rPr>
          <w:rFonts w:asciiTheme="majorHAnsi" w:hAnsiTheme="majorHAnsi"/>
        </w:rPr>
      </w:pPr>
    </w:p>
    <w:p w:rsidR="00501222" w:rsidRDefault="008E41AF" w:rsidP="00460C2C">
      <w:pPr>
        <w:spacing w:line="259" w:lineRule="auto"/>
        <w:rPr>
          <w:rFonts w:asciiTheme="majorHAnsi" w:hAnsiTheme="majorHAnsi"/>
          <w:color w:val="FF0000"/>
        </w:rPr>
      </w:pPr>
      <w:r w:rsidRPr="002530AA">
        <w:rPr>
          <w:rFonts w:asciiTheme="majorHAnsi" w:hAnsiTheme="majorHAnsi"/>
          <w:b/>
        </w:rPr>
        <w:t>Underwriter</w:t>
      </w:r>
      <w:r w:rsidRPr="002530AA">
        <w:rPr>
          <w:rFonts w:asciiTheme="majorHAnsi" w:hAnsiTheme="majorHAnsi"/>
        </w:rPr>
        <w:t xml:space="preserve">: </w:t>
      </w:r>
      <w:r w:rsidR="002530AA" w:rsidRPr="002530AA">
        <w:rPr>
          <w:rFonts w:asciiTheme="majorHAnsi" w:hAnsiTheme="majorHAnsi"/>
          <w:color w:val="FF0000"/>
        </w:rPr>
        <w:t>TBD</w:t>
      </w:r>
    </w:p>
    <w:p w:rsidR="008E41AF" w:rsidRPr="003E1D02" w:rsidRDefault="008E41AF" w:rsidP="00460C2C">
      <w:pPr>
        <w:spacing w:line="259" w:lineRule="auto"/>
        <w:rPr>
          <w:rFonts w:asciiTheme="majorHAnsi" w:hAnsiTheme="majorHAnsi"/>
        </w:rPr>
      </w:pPr>
    </w:p>
    <w:p w:rsidR="000A1C8F" w:rsidRPr="003E1D02" w:rsidRDefault="000A1C8F" w:rsidP="00460C2C">
      <w:pPr>
        <w:spacing w:line="259" w:lineRule="auto"/>
        <w:rPr>
          <w:rFonts w:asciiTheme="majorHAnsi" w:hAnsiTheme="majorHAnsi"/>
        </w:rPr>
      </w:pPr>
      <w:r w:rsidRPr="003E1D02">
        <w:rPr>
          <w:rFonts w:asciiTheme="majorHAnsi" w:hAnsiTheme="majorHAnsi"/>
          <w:b/>
        </w:rPr>
        <w:t>Targeted investor base</w:t>
      </w:r>
      <w:r w:rsidR="00EE702D">
        <w:rPr>
          <w:rFonts w:asciiTheme="majorHAnsi" w:hAnsiTheme="majorHAnsi"/>
          <w:b/>
        </w:rPr>
        <w:t>:</w:t>
      </w:r>
      <w:r w:rsidR="002E7E90">
        <w:rPr>
          <w:rFonts w:asciiTheme="majorHAnsi" w:hAnsiTheme="majorHAnsi"/>
          <w:b/>
        </w:rPr>
        <w:t xml:space="preserve"> </w:t>
      </w:r>
      <w:r w:rsidRPr="003E1D02">
        <w:rPr>
          <w:rFonts w:asciiTheme="majorHAnsi" w:hAnsiTheme="majorHAnsi"/>
        </w:rPr>
        <w:t>There are four inv</w:t>
      </w:r>
      <w:r w:rsidR="002E7E90">
        <w:rPr>
          <w:rFonts w:asciiTheme="majorHAnsi" w:hAnsiTheme="majorHAnsi"/>
        </w:rPr>
        <w:t>estor categories to be targeted.</w:t>
      </w:r>
    </w:p>
    <w:p w:rsidR="000A1C8F" w:rsidRPr="003E1D02" w:rsidRDefault="000A1C8F" w:rsidP="00460C2C">
      <w:pPr>
        <w:pStyle w:val="Paragrafoelenco"/>
        <w:numPr>
          <w:ilvl w:val="0"/>
          <w:numId w:val="18"/>
        </w:numPr>
        <w:spacing w:line="259" w:lineRule="auto"/>
        <w:rPr>
          <w:rFonts w:asciiTheme="majorHAnsi" w:hAnsiTheme="majorHAnsi"/>
        </w:rPr>
      </w:pPr>
      <w:r w:rsidRPr="003E1D02">
        <w:rPr>
          <w:rFonts w:asciiTheme="majorHAnsi" w:hAnsiTheme="majorHAnsi"/>
        </w:rPr>
        <w:t>HNWI Investors</w:t>
      </w:r>
    </w:p>
    <w:p w:rsidR="000A1C8F" w:rsidRPr="003E1D02" w:rsidRDefault="000A1C8F" w:rsidP="00460C2C">
      <w:pPr>
        <w:pStyle w:val="Paragrafoelenco"/>
        <w:numPr>
          <w:ilvl w:val="0"/>
          <w:numId w:val="18"/>
        </w:numPr>
        <w:spacing w:line="259" w:lineRule="auto"/>
        <w:rPr>
          <w:rFonts w:asciiTheme="majorHAnsi" w:hAnsiTheme="majorHAnsi"/>
        </w:rPr>
      </w:pPr>
      <w:r w:rsidRPr="003E1D02">
        <w:rPr>
          <w:rFonts w:asciiTheme="majorHAnsi" w:hAnsiTheme="majorHAnsi"/>
        </w:rPr>
        <w:t>Institutional (Banks, Funds, Private Equity Management companies)</w:t>
      </w:r>
    </w:p>
    <w:p w:rsidR="000A1C8F" w:rsidRPr="000904D4" w:rsidRDefault="000A1C8F" w:rsidP="00460C2C">
      <w:pPr>
        <w:pStyle w:val="Paragrafoelenco"/>
        <w:numPr>
          <w:ilvl w:val="0"/>
          <w:numId w:val="18"/>
        </w:numPr>
        <w:spacing w:line="259" w:lineRule="auto"/>
        <w:rPr>
          <w:rFonts w:asciiTheme="majorHAnsi" w:hAnsiTheme="majorHAnsi"/>
        </w:rPr>
      </w:pPr>
      <w:r w:rsidRPr="003E1D02">
        <w:rPr>
          <w:rFonts w:asciiTheme="majorHAnsi" w:hAnsiTheme="majorHAnsi"/>
        </w:rPr>
        <w:t>Private investors who typically choose UCITS (Undertakings for Collective Investments in Transferable</w:t>
      </w:r>
      <w:r w:rsidRPr="000904D4">
        <w:rPr>
          <w:rFonts w:asciiTheme="majorHAnsi" w:hAnsiTheme="majorHAnsi"/>
        </w:rPr>
        <w:t xml:space="preserve"> Securities) or AIF (Alternative Investment Funds)</w:t>
      </w:r>
    </w:p>
    <w:p w:rsidR="000A1C8F" w:rsidRPr="000904D4" w:rsidRDefault="000A1C8F" w:rsidP="00460C2C">
      <w:pPr>
        <w:pStyle w:val="Paragrafoelenco"/>
        <w:numPr>
          <w:ilvl w:val="0"/>
          <w:numId w:val="18"/>
        </w:numPr>
        <w:spacing w:line="259" w:lineRule="auto"/>
        <w:rPr>
          <w:rFonts w:asciiTheme="majorHAnsi" w:hAnsiTheme="majorHAnsi"/>
        </w:rPr>
      </w:pPr>
      <w:r w:rsidRPr="00514E99">
        <w:rPr>
          <w:rFonts w:asciiTheme="majorHAnsi" w:hAnsiTheme="majorHAnsi"/>
          <w:noProof/>
        </w:rPr>
        <w:t>Mille</w:t>
      </w:r>
      <w:r w:rsidR="00514E99">
        <w:rPr>
          <w:rFonts w:asciiTheme="majorHAnsi" w:hAnsiTheme="majorHAnsi"/>
          <w:noProof/>
        </w:rPr>
        <w:t>n</w:t>
      </w:r>
      <w:r w:rsidRPr="00514E99">
        <w:rPr>
          <w:rFonts w:asciiTheme="majorHAnsi" w:hAnsiTheme="majorHAnsi"/>
          <w:noProof/>
        </w:rPr>
        <w:t>nials</w:t>
      </w:r>
    </w:p>
    <w:p w:rsidR="000233A8" w:rsidRPr="000904D4" w:rsidRDefault="000233A8" w:rsidP="00460C2C">
      <w:pPr>
        <w:spacing w:line="259" w:lineRule="auto"/>
        <w:rPr>
          <w:rFonts w:asciiTheme="majorHAnsi" w:hAnsiTheme="majorHAnsi"/>
        </w:rPr>
      </w:pPr>
    </w:p>
    <w:p w:rsidR="000A1C8F" w:rsidRDefault="000A1C8F" w:rsidP="00460C2C">
      <w:pPr>
        <w:spacing w:line="259" w:lineRule="auto"/>
        <w:rPr>
          <w:rFonts w:asciiTheme="majorHAnsi" w:hAnsiTheme="majorHAnsi"/>
        </w:rPr>
      </w:pPr>
      <w:r w:rsidRPr="000904D4">
        <w:rPr>
          <w:rFonts w:asciiTheme="majorHAnsi" w:hAnsiTheme="majorHAnsi"/>
          <w:b/>
        </w:rPr>
        <w:t>Protocol description and benefits</w:t>
      </w:r>
      <w:r w:rsidR="00EE702D">
        <w:rPr>
          <w:rFonts w:asciiTheme="majorHAnsi" w:hAnsiTheme="majorHAnsi"/>
          <w:b/>
        </w:rPr>
        <w:t>:</w:t>
      </w:r>
      <w:r w:rsidR="002E7E90">
        <w:rPr>
          <w:rFonts w:asciiTheme="majorHAnsi" w:hAnsiTheme="majorHAnsi"/>
          <w:b/>
        </w:rPr>
        <w:t xml:space="preserve"> </w:t>
      </w:r>
      <w:r w:rsidRPr="000904D4">
        <w:rPr>
          <w:rFonts w:asciiTheme="majorHAnsi" w:hAnsiTheme="majorHAnsi"/>
        </w:rPr>
        <w:t>The Ethereum protocol is dominant in the ICO world. It has a huge development community. It is easy to get an ERC20 token listed on the cryptocurrency exchange. Wallet compatibility is also easy.</w:t>
      </w:r>
    </w:p>
    <w:p w:rsidR="00EE702D" w:rsidRDefault="00EE702D" w:rsidP="00460C2C">
      <w:pPr>
        <w:spacing w:line="259" w:lineRule="auto"/>
        <w:rPr>
          <w:rFonts w:asciiTheme="majorHAnsi" w:hAnsiTheme="majorHAnsi"/>
        </w:rPr>
      </w:pPr>
    </w:p>
    <w:p w:rsidR="00EE702D" w:rsidRPr="000904D4" w:rsidRDefault="00EE702D" w:rsidP="00460C2C">
      <w:pPr>
        <w:spacing w:line="259" w:lineRule="auto"/>
        <w:rPr>
          <w:rFonts w:asciiTheme="majorHAnsi" w:hAnsiTheme="majorHAnsi"/>
        </w:rPr>
      </w:pPr>
      <w:r w:rsidRPr="000904D4">
        <w:rPr>
          <w:rFonts w:asciiTheme="majorHAnsi" w:hAnsiTheme="majorHAnsi"/>
          <w:b/>
        </w:rPr>
        <w:t>Consensus algorithm</w:t>
      </w:r>
      <w:r w:rsidR="002E7E90">
        <w:rPr>
          <w:rFonts w:asciiTheme="majorHAnsi" w:hAnsiTheme="majorHAnsi"/>
        </w:rPr>
        <w:t>: Ethereum Proof-of-</w:t>
      </w:r>
      <w:r w:rsidRPr="000904D4">
        <w:rPr>
          <w:rFonts w:asciiTheme="majorHAnsi" w:hAnsiTheme="majorHAnsi"/>
        </w:rPr>
        <w:t>Work</w:t>
      </w:r>
    </w:p>
    <w:p w:rsidR="000233A8" w:rsidRPr="000904D4" w:rsidRDefault="000233A8" w:rsidP="00460C2C">
      <w:pPr>
        <w:spacing w:line="259" w:lineRule="auto"/>
        <w:rPr>
          <w:rFonts w:asciiTheme="majorHAnsi" w:hAnsiTheme="majorHAnsi"/>
        </w:rPr>
      </w:pPr>
    </w:p>
    <w:p w:rsidR="000233A8" w:rsidRPr="002E7E90" w:rsidRDefault="00EE702D" w:rsidP="00460C2C">
      <w:pPr>
        <w:spacing w:line="259" w:lineRule="auto"/>
        <w:rPr>
          <w:rFonts w:asciiTheme="majorHAnsi" w:hAnsiTheme="majorHAnsi"/>
          <w:b/>
        </w:rPr>
      </w:pPr>
      <w:r>
        <w:rPr>
          <w:rFonts w:asciiTheme="majorHAnsi" w:hAnsiTheme="majorHAnsi"/>
          <w:b/>
        </w:rPr>
        <w:t>T</w:t>
      </w:r>
      <w:r w:rsidR="000233A8" w:rsidRPr="004D1C3E">
        <w:rPr>
          <w:rFonts w:asciiTheme="majorHAnsi" w:hAnsiTheme="majorHAnsi"/>
          <w:b/>
        </w:rPr>
        <w:t>ransaction processing incentive mechanism and/or fees</w:t>
      </w:r>
      <w:r>
        <w:rPr>
          <w:rFonts w:asciiTheme="majorHAnsi" w:hAnsiTheme="majorHAnsi"/>
          <w:b/>
        </w:rPr>
        <w:t>:</w:t>
      </w:r>
      <w:r w:rsidR="002E7E90">
        <w:rPr>
          <w:rFonts w:asciiTheme="majorHAnsi" w:hAnsiTheme="majorHAnsi"/>
          <w:b/>
        </w:rPr>
        <w:t xml:space="preserve"> </w:t>
      </w:r>
      <w:r w:rsidR="00901CD7">
        <w:rPr>
          <w:rFonts w:asciiTheme="majorHAnsi" w:hAnsiTheme="majorHAnsi"/>
        </w:rPr>
        <w:t>Proof-of-</w:t>
      </w:r>
      <w:r w:rsidR="004D1C3E" w:rsidRPr="004D1C3E">
        <w:rPr>
          <w:rFonts w:asciiTheme="majorHAnsi" w:hAnsiTheme="majorHAnsi"/>
        </w:rPr>
        <w:t xml:space="preserve">Work is </w:t>
      </w:r>
      <w:r w:rsidR="00901CD7">
        <w:rPr>
          <w:rFonts w:asciiTheme="majorHAnsi" w:hAnsiTheme="majorHAnsi"/>
        </w:rPr>
        <w:t xml:space="preserve">the </w:t>
      </w:r>
      <w:r w:rsidR="004D1C3E" w:rsidRPr="004D1C3E">
        <w:rPr>
          <w:rFonts w:asciiTheme="majorHAnsi" w:hAnsiTheme="majorHAnsi"/>
        </w:rPr>
        <w:t xml:space="preserve">current </w:t>
      </w:r>
      <w:r w:rsidR="00901CD7">
        <w:rPr>
          <w:rFonts w:asciiTheme="majorHAnsi" w:hAnsiTheme="majorHAnsi"/>
        </w:rPr>
        <w:t xml:space="preserve">transaction processing protocol for Ethereum. Ether miners use </w:t>
      </w:r>
      <w:r w:rsidR="004D1C3E" w:rsidRPr="004D1C3E">
        <w:rPr>
          <w:rFonts w:asciiTheme="majorHAnsi" w:hAnsiTheme="majorHAnsi"/>
        </w:rPr>
        <w:t xml:space="preserve">computers </w:t>
      </w:r>
      <w:r w:rsidR="00901CD7">
        <w:rPr>
          <w:rFonts w:asciiTheme="majorHAnsi" w:hAnsiTheme="majorHAnsi"/>
        </w:rPr>
        <w:t xml:space="preserve">to </w:t>
      </w:r>
      <w:r w:rsidR="004D1C3E" w:rsidRPr="004D1C3E">
        <w:rPr>
          <w:rFonts w:asciiTheme="majorHAnsi" w:hAnsiTheme="majorHAnsi"/>
        </w:rPr>
        <w:t>solve mathematical puzzle</w:t>
      </w:r>
      <w:r w:rsidR="00901CD7">
        <w:rPr>
          <w:rFonts w:asciiTheme="majorHAnsi" w:hAnsiTheme="majorHAnsi"/>
        </w:rPr>
        <w:t>s and process</w:t>
      </w:r>
      <w:r w:rsidR="004D1C3E" w:rsidRPr="004D1C3E">
        <w:rPr>
          <w:rFonts w:asciiTheme="majorHAnsi" w:hAnsiTheme="majorHAnsi"/>
        </w:rPr>
        <w:t xml:space="preserve"> transaction</w:t>
      </w:r>
      <w:r w:rsidR="00901CD7">
        <w:rPr>
          <w:rFonts w:asciiTheme="majorHAnsi" w:hAnsiTheme="majorHAnsi"/>
        </w:rPr>
        <w:t>s</w:t>
      </w:r>
      <w:r w:rsidR="004D1C3E" w:rsidRPr="004D1C3E">
        <w:rPr>
          <w:rFonts w:asciiTheme="majorHAnsi" w:hAnsiTheme="majorHAnsi"/>
        </w:rPr>
        <w:t xml:space="preserve"> and, in return, they get a reward. The fees depend on how congested the blockchain is and what type of transaction is being p</w:t>
      </w:r>
      <w:r w:rsidR="00901CD7">
        <w:rPr>
          <w:rFonts w:asciiTheme="majorHAnsi" w:hAnsiTheme="majorHAnsi"/>
        </w:rPr>
        <w:t>rocessed</w:t>
      </w:r>
      <w:r w:rsidR="004D1C3E" w:rsidRPr="004D1C3E">
        <w:rPr>
          <w:rFonts w:asciiTheme="majorHAnsi" w:hAnsiTheme="majorHAnsi"/>
        </w:rPr>
        <w:t>.</w:t>
      </w:r>
      <w:r w:rsidR="004D1C3E">
        <w:rPr>
          <w:rFonts w:asciiTheme="majorHAnsi" w:hAnsiTheme="majorHAnsi"/>
        </w:rPr>
        <w:br/>
      </w:r>
      <w:r w:rsidR="00682692">
        <w:rPr>
          <w:rFonts w:asciiTheme="majorHAnsi" w:hAnsiTheme="majorHAnsi"/>
          <w:b/>
        </w:rPr>
        <w:br/>
      </w:r>
      <w:r w:rsidR="000233A8" w:rsidRPr="00901CD7">
        <w:rPr>
          <w:rFonts w:asciiTheme="majorHAnsi" w:hAnsiTheme="majorHAnsi"/>
          <w:b/>
        </w:rPr>
        <w:t>Ethe</w:t>
      </w:r>
      <w:r w:rsidR="00901CD7">
        <w:rPr>
          <w:rFonts w:asciiTheme="majorHAnsi" w:hAnsiTheme="majorHAnsi"/>
          <w:b/>
        </w:rPr>
        <w:t>reum transaction speed estimate</w:t>
      </w:r>
      <w:r>
        <w:rPr>
          <w:rFonts w:asciiTheme="majorHAnsi" w:hAnsiTheme="majorHAnsi"/>
          <w:b/>
        </w:rPr>
        <w:t>:</w:t>
      </w:r>
      <w:r w:rsidR="002E7E90">
        <w:rPr>
          <w:rFonts w:asciiTheme="majorHAnsi" w:hAnsiTheme="majorHAnsi"/>
          <w:b/>
        </w:rPr>
        <w:t xml:space="preserve"> </w:t>
      </w:r>
      <w:r w:rsidR="000233A8" w:rsidRPr="000904D4">
        <w:rPr>
          <w:rFonts w:asciiTheme="majorHAnsi" w:hAnsiTheme="majorHAnsi"/>
        </w:rPr>
        <w:t xml:space="preserve">The Ethereum blockchain currently supports roughly 15 </w:t>
      </w:r>
      <w:r w:rsidR="000233A8" w:rsidRPr="000904D4">
        <w:rPr>
          <w:rFonts w:asciiTheme="majorHAnsi" w:hAnsiTheme="majorHAnsi"/>
        </w:rPr>
        <w:lastRenderedPageBreak/>
        <w:t>transactions per second. How long the transaction takes depends on the network congestion and GAS spent on the transaction. A transaction can take around 30 seconds up to several days.</w:t>
      </w:r>
    </w:p>
    <w:p w:rsidR="000233A8" w:rsidRPr="000904D4" w:rsidRDefault="000233A8" w:rsidP="00460C2C">
      <w:pPr>
        <w:spacing w:line="259" w:lineRule="auto"/>
        <w:rPr>
          <w:rFonts w:asciiTheme="majorHAnsi" w:hAnsiTheme="majorHAnsi"/>
        </w:rPr>
      </w:pPr>
    </w:p>
    <w:p w:rsidR="000233A8" w:rsidRPr="000904D4" w:rsidRDefault="000233A8" w:rsidP="00460C2C">
      <w:pPr>
        <w:spacing w:line="259" w:lineRule="auto"/>
        <w:rPr>
          <w:rFonts w:asciiTheme="majorHAnsi" w:hAnsiTheme="majorHAnsi"/>
        </w:rPr>
      </w:pPr>
      <w:r w:rsidRPr="00EE702D">
        <w:rPr>
          <w:rFonts w:asciiTheme="majorHAnsi" w:hAnsiTheme="majorHAnsi"/>
          <w:b/>
        </w:rPr>
        <w:t>Smart contract underlying protocols, func</w:t>
      </w:r>
      <w:r w:rsidR="00EE702D">
        <w:rPr>
          <w:rFonts w:asciiTheme="majorHAnsi" w:hAnsiTheme="majorHAnsi"/>
          <w:b/>
        </w:rPr>
        <w:t>tionality, operational costs</w:t>
      </w:r>
      <w:r w:rsidRPr="000904D4">
        <w:rPr>
          <w:rFonts w:asciiTheme="majorHAnsi" w:hAnsiTheme="majorHAnsi"/>
        </w:rPr>
        <w:t>:</w:t>
      </w:r>
      <w:r w:rsidR="002E7E90">
        <w:rPr>
          <w:rFonts w:asciiTheme="majorHAnsi" w:hAnsiTheme="majorHAnsi"/>
        </w:rPr>
        <w:t xml:space="preserve"> </w:t>
      </w:r>
      <w:r w:rsidRPr="000904D4">
        <w:rPr>
          <w:rFonts w:asciiTheme="majorHAnsi" w:hAnsiTheme="majorHAnsi"/>
        </w:rPr>
        <w:t xml:space="preserve">Smart contracts are written in Solidity and deployed upon the Ethereum blockchain. To deploy a smart contract you have to pay </w:t>
      </w:r>
      <w:r w:rsidRPr="00BF1FAE">
        <w:rPr>
          <w:rFonts w:asciiTheme="majorHAnsi" w:hAnsiTheme="majorHAnsi"/>
          <w:noProof/>
        </w:rPr>
        <w:t>GAS</w:t>
      </w:r>
      <w:r w:rsidRPr="000904D4">
        <w:rPr>
          <w:rFonts w:asciiTheme="majorHAnsi" w:hAnsiTheme="majorHAnsi"/>
        </w:rPr>
        <w:t xml:space="preserve"> fees. To interact with a smart contract, a transaction has to be made.</w:t>
      </w:r>
    </w:p>
    <w:p w:rsidR="000A1C8F" w:rsidRPr="000904D4" w:rsidRDefault="000A1C8F" w:rsidP="00460C2C">
      <w:pPr>
        <w:spacing w:line="259" w:lineRule="auto"/>
        <w:rPr>
          <w:rFonts w:asciiTheme="majorHAnsi" w:hAnsiTheme="majorHAnsi"/>
          <w:color w:val="FF3399"/>
        </w:rPr>
      </w:pPr>
    </w:p>
    <w:p w:rsidR="005259FA" w:rsidRPr="00EE702D" w:rsidRDefault="000A1C8F" w:rsidP="00460C2C">
      <w:pPr>
        <w:spacing w:line="259" w:lineRule="auto"/>
        <w:rPr>
          <w:rFonts w:asciiTheme="majorHAnsi" w:hAnsiTheme="majorHAnsi"/>
        </w:rPr>
      </w:pPr>
      <w:r w:rsidRPr="000904D4">
        <w:rPr>
          <w:rFonts w:asciiTheme="majorHAnsi" w:hAnsiTheme="majorHAnsi"/>
          <w:b/>
        </w:rPr>
        <w:t>Underlying protocol’s interoperability with other protocols</w:t>
      </w:r>
      <w:r w:rsidRPr="000904D4">
        <w:rPr>
          <w:rFonts w:asciiTheme="majorHAnsi" w:hAnsiTheme="majorHAnsi"/>
        </w:rPr>
        <w:t>:</w:t>
      </w:r>
      <w:r w:rsidR="00EE702D">
        <w:rPr>
          <w:rFonts w:asciiTheme="majorHAnsi" w:hAnsiTheme="majorHAnsi"/>
        </w:rPr>
        <w:t xml:space="preserve"> </w:t>
      </w:r>
      <w:r w:rsidR="00BA5CF3" w:rsidRPr="000904D4">
        <w:rPr>
          <w:rFonts w:asciiTheme="majorHAnsi" w:hAnsiTheme="majorHAnsi"/>
        </w:rPr>
        <w:t>Ethereum smart contracts can access external data through trusted data feeds, call Oracles, that send information into the Smart Contract, and remove the need for Smart Contracts to directly access information outside their network, thus lightening their workload. Oracles are usually supplied by third parties and are authorized by the companies that use them.</w:t>
      </w:r>
    </w:p>
    <w:p w:rsidR="00EE702D" w:rsidRPr="000904D4" w:rsidRDefault="00EE702D" w:rsidP="00460C2C">
      <w:pPr>
        <w:spacing w:line="259" w:lineRule="auto"/>
        <w:rPr>
          <w:rFonts w:asciiTheme="majorHAnsi" w:hAnsiTheme="majorHAnsi"/>
          <w:color w:val="FF3399"/>
        </w:rPr>
      </w:pPr>
    </w:p>
    <w:p w:rsidR="000A1C8F" w:rsidRDefault="000A1C8F" w:rsidP="00460C2C">
      <w:pPr>
        <w:spacing w:line="259" w:lineRule="auto"/>
        <w:rPr>
          <w:rFonts w:asciiTheme="majorHAnsi" w:hAnsiTheme="majorHAnsi"/>
        </w:rPr>
      </w:pPr>
      <w:r w:rsidRPr="000904D4">
        <w:rPr>
          <w:rFonts w:asciiTheme="majorHAnsi" w:hAnsiTheme="majorHAnsi"/>
          <w:b/>
        </w:rPr>
        <w:t>Smart contract embedded restrictions</w:t>
      </w:r>
      <w:r w:rsidRPr="000904D4">
        <w:rPr>
          <w:rFonts w:asciiTheme="majorHAnsi" w:hAnsiTheme="majorHAnsi"/>
        </w:rPr>
        <w:t>: None</w:t>
      </w:r>
    </w:p>
    <w:p w:rsidR="0046569D" w:rsidRDefault="0046569D" w:rsidP="00460C2C">
      <w:pPr>
        <w:spacing w:line="259" w:lineRule="auto"/>
        <w:rPr>
          <w:rFonts w:asciiTheme="majorHAnsi" w:hAnsiTheme="majorHAnsi"/>
        </w:rPr>
      </w:pPr>
    </w:p>
    <w:p w:rsidR="000A1C8F" w:rsidRDefault="000A1C8F" w:rsidP="00460C2C">
      <w:pPr>
        <w:spacing w:line="259" w:lineRule="auto"/>
        <w:rPr>
          <w:rFonts w:asciiTheme="majorHAnsi" w:hAnsiTheme="majorHAnsi"/>
        </w:rPr>
      </w:pPr>
      <w:r w:rsidRPr="000904D4">
        <w:rPr>
          <w:rFonts w:asciiTheme="majorHAnsi" w:hAnsiTheme="majorHAnsi"/>
          <w:b/>
        </w:rPr>
        <w:t>Oracles</w:t>
      </w:r>
      <w:r w:rsidRPr="000904D4">
        <w:rPr>
          <w:rFonts w:asciiTheme="majorHAnsi" w:hAnsiTheme="majorHAnsi"/>
        </w:rPr>
        <w:t>: None</w:t>
      </w:r>
    </w:p>
    <w:p w:rsidR="0046569D" w:rsidRDefault="0046569D" w:rsidP="00460C2C">
      <w:pPr>
        <w:spacing w:line="259" w:lineRule="auto"/>
        <w:rPr>
          <w:rFonts w:asciiTheme="majorHAnsi" w:hAnsiTheme="majorHAnsi"/>
        </w:rPr>
      </w:pPr>
    </w:p>
    <w:p w:rsidR="000A1C8F" w:rsidRDefault="000A1C8F" w:rsidP="00460C2C">
      <w:pPr>
        <w:spacing w:line="259" w:lineRule="auto"/>
        <w:rPr>
          <w:rFonts w:asciiTheme="majorHAnsi" w:hAnsiTheme="majorHAnsi"/>
        </w:rPr>
      </w:pPr>
      <w:r w:rsidRPr="000904D4">
        <w:rPr>
          <w:rFonts w:asciiTheme="majorHAnsi" w:hAnsiTheme="majorHAnsi"/>
          <w:b/>
        </w:rPr>
        <w:t>Procedure for exercise of any right of pre-emption</w:t>
      </w:r>
      <w:r w:rsidRPr="000904D4">
        <w:rPr>
          <w:rFonts w:asciiTheme="majorHAnsi" w:hAnsiTheme="majorHAnsi"/>
        </w:rPr>
        <w:t>: None applicable</w:t>
      </w:r>
    </w:p>
    <w:p w:rsidR="0046569D" w:rsidRDefault="0046569D" w:rsidP="00460C2C">
      <w:pPr>
        <w:spacing w:line="259" w:lineRule="auto"/>
        <w:rPr>
          <w:rFonts w:asciiTheme="majorHAnsi" w:hAnsiTheme="majorHAnsi"/>
        </w:rPr>
      </w:pPr>
    </w:p>
    <w:p w:rsidR="000A1C8F" w:rsidRDefault="000A1C8F" w:rsidP="00460C2C">
      <w:pPr>
        <w:spacing w:line="259" w:lineRule="auto"/>
        <w:rPr>
          <w:rFonts w:asciiTheme="majorHAnsi" w:hAnsiTheme="majorHAnsi"/>
          <w:noProof/>
          <w:color w:val="FF0000"/>
        </w:rPr>
      </w:pPr>
      <w:r w:rsidRPr="000904D4">
        <w:rPr>
          <w:rFonts w:asciiTheme="majorHAnsi" w:hAnsiTheme="majorHAnsi"/>
          <w:b/>
        </w:rPr>
        <w:t>Challenges/risks and mitigation</w:t>
      </w:r>
      <w:r w:rsidR="002E7E90">
        <w:rPr>
          <w:rFonts w:asciiTheme="majorHAnsi" w:hAnsiTheme="majorHAnsi"/>
        </w:rPr>
        <w:t xml:space="preserve">: </w:t>
      </w:r>
      <w:r w:rsidR="002E7E90" w:rsidRPr="002E7E90">
        <w:rPr>
          <w:rFonts w:asciiTheme="majorHAnsi" w:hAnsiTheme="majorHAnsi"/>
          <w:color w:val="FF0000"/>
        </w:rPr>
        <w:t xml:space="preserve">request from </w:t>
      </w:r>
      <w:r w:rsidR="002E7E90" w:rsidRPr="00BF1FAE">
        <w:rPr>
          <w:rFonts w:asciiTheme="majorHAnsi" w:hAnsiTheme="majorHAnsi"/>
          <w:noProof/>
          <w:color w:val="FF0000"/>
        </w:rPr>
        <w:t>client</w:t>
      </w:r>
    </w:p>
    <w:p w:rsidR="0046569D" w:rsidRDefault="0046569D" w:rsidP="00460C2C">
      <w:pPr>
        <w:spacing w:line="259" w:lineRule="auto"/>
        <w:rPr>
          <w:rFonts w:asciiTheme="majorHAnsi" w:hAnsiTheme="majorHAnsi"/>
        </w:rPr>
      </w:pPr>
    </w:p>
    <w:p w:rsidR="000A1C8F" w:rsidRDefault="000A1C8F" w:rsidP="00460C2C">
      <w:pPr>
        <w:spacing w:line="259" w:lineRule="auto"/>
        <w:rPr>
          <w:rFonts w:asciiTheme="majorHAnsi" w:hAnsiTheme="majorHAnsi"/>
        </w:rPr>
      </w:pPr>
      <w:r w:rsidRPr="000904D4">
        <w:rPr>
          <w:rFonts w:asciiTheme="majorHAnsi" w:hAnsiTheme="majorHAnsi"/>
          <w:b/>
        </w:rPr>
        <w:t>Issuer’s wallets</w:t>
      </w:r>
      <w:r w:rsidRPr="000904D4">
        <w:rPr>
          <w:rFonts w:asciiTheme="majorHAnsi" w:hAnsiTheme="majorHAnsi"/>
        </w:rPr>
        <w:t>: Any ERC20-</w:t>
      </w:r>
      <w:r w:rsidRPr="000904D4">
        <w:rPr>
          <w:rFonts w:asciiTheme="majorHAnsi" w:hAnsiTheme="majorHAnsi"/>
          <w:noProof/>
        </w:rPr>
        <w:t>compatible</w:t>
      </w:r>
      <w:r w:rsidRPr="000904D4">
        <w:rPr>
          <w:rFonts w:asciiTheme="majorHAnsi" w:hAnsiTheme="majorHAnsi"/>
        </w:rPr>
        <w:t xml:space="preserve"> wallet.</w:t>
      </w:r>
    </w:p>
    <w:p w:rsidR="002E7E90" w:rsidRPr="000904D4" w:rsidRDefault="002E7E90" w:rsidP="00460C2C">
      <w:pPr>
        <w:spacing w:line="259" w:lineRule="auto"/>
        <w:rPr>
          <w:rFonts w:asciiTheme="majorHAnsi" w:hAnsiTheme="majorHAnsi"/>
        </w:rPr>
      </w:pPr>
    </w:p>
    <w:p w:rsidR="009500FF" w:rsidRDefault="000A1C8F" w:rsidP="00460C2C">
      <w:pPr>
        <w:spacing w:line="259" w:lineRule="auto"/>
        <w:rPr>
          <w:rFonts w:asciiTheme="majorHAnsi" w:hAnsiTheme="majorHAnsi"/>
        </w:rPr>
      </w:pPr>
      <w:r w:rsidRPr="000904D4">
        <w:rPr>
          <w:rFonts w:asciiTheme="majorHAnsi" w:hAnsiTheme="majorHAnsi"/>
          <w:b/>
        </w:rPr>
        <w:t>I</w:t>
      </w:r>
      <w:r w:rsidR="009500FF" w:rsidRPr="000904D4">
        <w:rPr>
          <w:rFonts w:asciiTheme="majorHAnsi" w:hAnsiTheme="majorHAnsi"/>
          <w:b/>
        </w:rPr>
        <w:t>ssuer’s wallet</w:t>
      </w:r>
      <w:r w:rsidRPr="000904D4">
        <w:rPr>
          <w:rFonts w:asciiTheme="majorHAnsi" w:hAnsiTheme="majorHAnsi"/>
          <w:b/>
        </w:rPr>
        <w:t>s safeguards</w:t>
      </w:r>
      <w:r w:rsidRPr="00F730AD">
        <w:rPr>
          <w:rFonts w:asciiTheme="majorHAnsi" w:hAnsiTheme="majorHAnsi"/>
          <w:noProof/>
        </w:rPr>
        <w:t>:</w:t>
      </w:r>
      <w:r w:rsidR="00F730AD">
        <w:rPr>
          <w:rFonts w:asciiTheme="majorHAnsi" w:hAnsiTheme="majorHAnsi"/>
          <w:noProof/>
        </w:rPr>
        <w:t xml:space="preserve"> </w:t>
      </w:r>
      <w:r w:rsidR="009500FF" w:rsidRPr="00F730AD">
        <w:rPr>
          <w:rFonts w:asciiTheme="majorHAnsi" w:hAnsiTheme="majorHAnsi"/>
          <w:noProof/>
        </w:rPr>
        <w:t>The</w:t>
      </w:r>
      <w:r w:rsidR="009500FF" w:rsidRPr="000904D4">
        <w:rPr>
          <w:rFonts w:asciiTheme="majorHAnsi" w:hAnsiTheme="majorHAnsi"/>
        </w:rPr>
        <w:t xml:space="preserve"> tokens will be held in a 3/4 Gnosis </w:t>
      </w:r>
      <w:r w:rsidR="009500FF" w:rsidRPr="00F730AD">
        <w:rPr>
          <w:rFonts w:asciiTheme="majorHAnsi" w:hAnsiTheme="majorHAnsi"/>
          <w:noProof/>
        </w:rPr>
        <w:t>multisigwallet</w:t>
      </w:r>
      <w:r w:rsidR="009500FF" w:rsidRPr="000904D4">
        <w:rPr>
          <w:rFonts w:asciiTheme="majorHAnsi" w:hAnsiTheme="majorHAnsi"/>
        </w:rPr>
        <w:t>. ICO Malta will hold two signatures to ensure that no funds are taken out before the withdrawal period. A minimum of two of these signatures will be required by a Trezor or Nano Ledger wallet.</w:t>
      </w:r>
    </w:p>
    <w:p w:rsidR="002E7E90" w:rsidRPr="000904D4" w:rsidRDefault="002E7E90" w:rsidP="00460C2C">
      <w:pPr>
        <w:spacing w:line="259" w:lineRule="auto"/>
        <w:rPr>
          <w:rFonts w:asciiTheme="majorHAnsi" w:hAnsiTheme="majorHAnsi"/>
        </w:rPr>
      </w:pPr>
    </w:p>
    <w:p w:rsidR="000A1C8F" w:rsidRDefault="000A1C8F" w:rsidP="00460C2C">
      <w:pPr>
        <w:spacing w:line="259" w:lineRule="auto"/>
        <w:rPr>
          <w:rFonts w:asciiTheme="majorHAnsi" w:hAnsiTheme="majorHAnsi"/>
        </w:rPr>
      </w:pPr>
      <w:r w:rsidRPr="000904D4">
        <w:rPr>
          <w:rFonts w:asciiTheme="majorHAnsi" w:hAnsiTheme="majorHAnsi"/>
          <w:b/>
        </w:rPr>
        <w:t>Smart contrac</w:t>
      </w:r>
      <w:r w:rsidR="005C0FF0" w:rsidRPr="000904D4">
        <w:rPr>
          <w:rFonts w:asciiTheme="majorHAnsi" w:hAnsiTheme="majorHAnsi"/>
          <w:b/>
        </w:rPr>
        <w:t>t</w:t>
      </w:r>
      <w:r w:rsidRPr="000904D4">
        <w:rPr>
          <w:rFonts w:asciiTheme="majorHAnsi" w:hAnsiTheme="majorHAnsi"/>
          <w:b/>
        </w:rPr>
        <w:t xml:space="preserve"> auditor</w:t>
      </w:r>
      <w:r w:rsidR="005C0FF0" w:rsidRPr="000904D4">
        <w:rPr>
          <w:rFonts w:asciiTheme="majorHAnsi" w:hAnsiTheme="majorHAnsi"/>
          <w:b/>
        </w:rPr>
        <w:t>s</w:t>
      </w:r>
      <w:r w:rsidRPr="000904D4">
        <w:rPr>
          <w:rFonts w:asciiTheme="majorHAnsi" w:hAnsiTheme="majorHAnsi"/>
        </w:rPr>
        <w:t xml:space="preserve">: </w:t>
      </w:r>
      <w:r w:rsidR="009500FF" w:rsidRPr="000904D4">
        <w:rPr>
          <w:rFonts w:asciiTheme="majorHAnsi" w:hAnsiTheme="majorHAnsi"/>
        </w:rPr>
        <w:t>OpenZeppelin and ParsecLabs</w:t>
      </w:r>
    </w:p>
    <w:p w:rsidR="000904D4" w:rsidRPr="00F23714" w:rsidRDefault="000904D4" w:rsidP="00460C2C">
      <w:pPr>
        <w:spacing w:line="259" w:lineRule="auto"/>
        <w:rPr>
          <w:rFonts w:asciiTheme="majorHAnsi" w:hAnsiTheme="majorHAnsi"/>
          <w:b/>
          <w:color w:val="FF3399"/>
          <w:sz w:val="14"/>
        </w:rPr>
      </w:pPr>
    </w:p>
    <w:p w:rsidR="000A1C8F" w:rsidRPr="002E7E90" w:rsidRDefault="000A1C8F" w:rsidP="00460C2C">
      <w:pPr>
        <w:spacing w:line="259" w:lineRule="auto"/>
        <w:rPr>
          <w:rFonts w:asciiTheme="majorHAnsi" w:hAnsiTheme="majorHAnsi"/>
        </w:rPr>
      </w:pPr>
      <w:r w:rsidRPr="002E7E90">
        <w:rPr>
          <w:rFonts w:asciiTheme="majorHAnsi" w:hAnsiTheme="majorHAnsi"/>
          <w:b/>
        </w:rPr>
        <w:t>Intellectual property rights</w:t>
      </w:r>
      <w:r w:rsidRPr="002E7E90">
        <w:rPr>
          <w:rFonts w:asciiTheme="majorHAnsi" w:hAnsiTheme="majorHAnsi"/>
        </w:rPr>
        <w:t>:</w:t>
      </w:r>
    </w:p>
    <w:p w:rsidR="002E7E90" w:rsidRPr="002E7E90" w:rsidRDefault="002E7E90" w:rsidP="00460C2C">
      <w:pPr>
        <w:pStyle w:val="Paragrafoelenco"/>
        <w:numPr>
          <w:ilvl w:val="0"/>
          <w:numId w:val="31"/>
        </w:numPr>
        <w:rPr>
          <w:rFonts w:asciiTheme="majorHAnsi" w:hAnsiTheme="majorHAnsi" w:cs="Calibri"/>
          <w:lang w:val="en-US"/>
        </w:rPr>
      </w:pPr>
      <w:r w:rsidRPr="002E7E90">
        <w:rPr>
          <w:rFonts w:asciiTheme="majorHAnsi" w:hAnsiTheme="majorHAnsi" w:cs="Calibri"/>
          <w:lang w:val="en-US"/>
        </w:rPr>
        <w:t>Trademarks and logos are into registration now:</w:t>
      </w:r>
    </w:p>
    <w:p w:rsidR="002E7E90" w:rsidRPr="002E7E90" w:rsidRDefault="002E7E90" w:rsidP="00460C2C">
      <w:pPr>
        <w:pStyle w:val="Paragrafoelenco"/>
        <w:numPr>
          <w:ilvl w:val="0"/>
          <w:numId w:val="31"/>
        </w:numPr>
        <w:rPr>
          <w:rFonts w:asciiTheme="majorHAnsi" w:hAnsiTheme="majorHAnsi" w:cs="Arial"/>
        </w:rPr>
      </w:pPr>
      <w:r w:rsidRPr="002E7E90">
        <w:rPr>
          <w:rFonts w:asciiTheme="majorHAnsi" w:hAnsiTheme="majorHAnsi" w:cs="Arial"/>
        </w:rPr>
        <w:t>"CFX" + logo</w:t>
      </w:r>
    </w:p>
    <w:p w:rsidR="002E7E90" w:rsidRPr="002E7E90" w:rsidRDefault="002E7E90" w:rsidP="00460C2C">
      <w:pPr>
        <w:pStyle w:val="Paragrafoelenco"/>
        <w:numPr>
          <w:ilvl w:val="0"/>
          <w:numId w:val="31"/>
        </w:numPr>
        <w:rPr>
          <w:rFonts w:asciiTheme="majorHAnsi" w:hAnsiTheme="majorHAnsi" w:cs="Arial"/>
        </w:rPr>
      </w:pPr>
      <w:r w:rsidRPr="002E7E90">
        <w:rPr>
          <w:rFonts w:asciiTheme="majorHAnsi" w:hAnsiTheme="majorHAnsi" w:cs="Arial"/>
        </w:rPr>
        <w:t>"CFX Token" + design</w:t>
      </w:r>
    </w:p>
    <w:p w:rsidR="002E7E90" w:rsidRPr="002E7E90" w:rsidRDefault="002E7E90" w:rsidP="00460C2C">
      <w:pPr>
        <w:pStyle w:val="Paragrafoelenco"/>
        <w:numPr>
          <w:ilvl w:val="0"/>
          <w:numId w:val="31"/>
        </w:numPr>
        <w:rPr>
          <w:rFonts w:asciiTheme="majorHAnsi" w:hAnsiTheme="majorHAnsi" w:cs="Arial"/>
        </w:rPr>
      </w:pPr>
      <w:r w:rsidRPr="002E7E90">
        <w:rPr>
          <w:rFonts w:asciiTheme="majorHAnsi" w:hAnsiTheme="majorHAnsi" w:cs="Arial"/>
        </w:rPr>
        <w:t>CFX Sentiment Index</w:t>
      </w:r>
    </w:p>
    <w:p w:rsidR="002E7E90" w:rsidRPr="002E7E90" w:rsidRDefault="002E7E90" w:rsidP="00460C2C">
      <w:pPr>
        <w:pStyle w:val="Paragrafoelenco"/>
        <w:numPr>
          <w:ilvl w:val="0"/>
          <w:numId w:val="31"/>
        </w:numPr>
        <w:rPr>
          <w:rFonts w:asciiTheme="majorHAnsi" w:hAnsiTheme="majorHAnsi" w:cs="Arial"/>
        </w:rPr>
      </w:pPr>
      <w:r w:rsidRPr="002E7E90">
        <w:rPr>
          <w:rFonts w:asciiTheme="majorHAnsi" w:hAnsiTheme="majorHAnsi" w:cs="Arial"/>
        </w:rPr>
        <w:t>"HATS" "Higly Advanced Trading System"</w:t>
      </w:r>
    </w:p>
    <w:p w:rsidR="002E7E90" w:rsidRPr="002E7E90" w:rsidRDefault="002E7E90" w:rsidP="00460C2C">
      <w:pPr>
        <w:pStyle w:val="Paragrafoelenco"/>
        <w:numPr>
          <w:ilvl w:val="0"/>
          <w:numId w:val="31"/>
        </w:numPr>
        <w:rPr>
          <w:rFonts w:asciiTheme="majorHAnsi" w:hAnsiTheme="majorHAnsi" w:cs="Arial"/>
        </w:rPr>
      </w:pPr>
      <w:r w:rsidRPr="002E7E90">
        <w:rPr>
          <w:rFonts w:asciiTheme="majorHAnsi" w:hAnsiTheme="majorHAnsi" w:cs="Arial"/>
        </w:rPr>
        <w:t>"CFX Cryptofxforinvest" + logo</w:t>
      </w:r>
    </w:p>
    <w:p w:rsidR="002E7E90" w:rsidRPr="002E7E90" w:rsidRDefault="002E7E90" w:rsidP="00460C2C">
      <w:pPr>
        <w:pStyle w:val="Paragrafoelenco"/>
        <w:numPr>
          <w:ilvl w:val="0"/>
          <w:numId w:val="31"/>
        </w:numPr>
        <w:rPr>
          <w:rFonts w:asciiTheme="majorHAnsi" w:hAnsiTheme="majorHAnsi" w:cs="Arial"/>
        </w:rPr>
      </w:pPr>
      <w:r w:rsidRPr="002E7E90">
        <w:rPr>
          <w:rFonts w:asciiTheme="majorHAnsi" w:hAnsiTheme="majorHAnsi" w:cs="Arial"/>
        </w:rPr>
        <w:t>"Cryptofxforinvest"</w:t>
      </w:r>
    </w:p>
    <w:p w:rsidR="00D72775" w:rsidRDefault="00D72775" w:rsidP="00460C2C">
      <w:pPr>
        <w:rPr>
          <w:rFonts w:asciiTheme="majorHAnsi" w:hAnsiTheme="majorHAnsi" w:cs="Calibri"/>
          <w:lang w:val="en-US"/>
        </w:rPr>
      </w:pPr>
    </w:p>
    <w:p w:rsidR="002E7E90" w:rsidRPr="002E7E90" w:rsidRDefault="002E7E90" w:rsidP="00460C2C">
      <w:pPr>
        <w:rPr>
          <w:rFonts w:asciiTheme="majorHAnsi" w:hAnsiTheme="majorHAnsi" w:cs="Calibri"/>
          <w:lang w:val="en-US"/>
        </w:rPr>
      </w:pPr>
      <w:r w:rsidRPr="002E7E90">
        <w:rPr>
          <w:rFonts w:asciiTheme="majorHAnsi" w:hAnsiTheme="majorHAnsi" w:cs="Calibri"/>
          <w:lang w:val="en-US"/>
        </w:rPr>
        <w:t xml:space="preserve">Over 100 trading systems formulas composing HATS are in our vault in Italy and will be deposited and protected in a vault in Malta as soon as possible. HATS System and CFX Sentiment Index will be patented as soon as we have defined the details of the integrated software procedures and, therefore, the company will own the systems. We have budgeted 6 million euros to buy all the systems involved, 1 million euro to further develop them. </w:t>
      </w:r>
    </w:p>
    <w:p w:rsidR="002E7E90" w:rsidRPr="002E7E90" w:rsidRDefault="002E7E90" w:rsidP="00460C2C">
      <w:pPr>
        <w:spacing w:line="259" w:lineRule="auto"/>
        <w:rPr>
          <w:rFonts w:asciiTheme="majorHAnsi" w:hAnsiTheme="majorHAnsi"/>
        </w:rPr>
      </w:pPr>
    </w:p>
    <w:p w:rsidR="00501222" w:rsidRPr="007E2132" w:rsidRDefault="000A1C8F" w:rsidP="00460C2C">
      <w:pPr>
        <w:rPr>
          <w:rFonts w:asciiTheme="majorHAnsi" w:hAnsiTheme="majorHAnsi" w:cs="Calibri"/>
          <w:lang w:val="en-US"/>
        </w:rPr>
      </w:pPr>
      <w:r w:rsidRPr="002E7E90">
        <w:rPr>
          <w:rFonts w:asciiTheme="majorHAnsi" w:hAnsiTheme="majorHAnsi"/>
          <w:b/>
        </w:rPr>
        <w:t>Intellectual property rights protection</w:t>
      </w:r>
      <w:r w:rsidRPr="002E7E90">
        <w:rPr>
          <w:rFonts w:asciiTheme="majorHAnsi" w:hAnsiTheme="majorHAnsi"/>
        </w:rPr>
        <w:t>:</w:t>
      </w:r>
      <w:r w:rsidR="002E7E90" w:rsidRPr="002E7E90">
        <w:rPr>
          <w:rFonts w:asciiTheme="majorHAnsi" w:hAnsiTheme="majorHAnsi"/>
        </w:rPr>
        <w:t xml:space="preserve"> </w:t>
      </w:r>
      <w:r w:rsidR="002E7E90" w:rsidRPr="002E7E90">
        <w:rPr>
          <w:rFonts w:asciiTheme="majorHAnsi" w:hAnsiTheme="majorHAnsi" w:cs="Calibri"/>
          <w:lang w:val="en-US"/>
        </w:rPr>
        <w:t>Deposit of trademarks worldwide and patents to be defined.</w:t>
      </w:r>
      <w:bookmarkStart w:id="15" w:name="_aihul9pbknbi" w:colFirst="0" w:colLast="0"/>
      <w:bookmarkEnd w:id="15"/>
    </w:p>
    <w:p w:rsidR="00900D44" w:rsidRPr="003C15AA" w:rsidRDefault="00900D44" w:rsidP="00460C2C">
      <w:pPr>
        <w:pStyle w:val="Titolo2"/>
        <w:rPr>
          <w:rFonts w:ascii="Franklin Gothic Demi" w:eastAsia="Times New Roman" w:hAnsi="Franklin Gothic Demi" w:cs="Times New Roman"/>
          <w:b w:val="0"/>
          <w:bCs w:val="0"/>
          <w:iCs w:val="0"/>
          <w:color w:val="018BB3"/>
          <w:spacing w:val="26"/>
          <w:szCs w:val="36"/>
        </w:rPr>
      </w:pPr>
      <w:bookmarkStart w:id="16" w:name="_Toc523439986"/>
      <w:r w:rsidRPr="003C15AA">
        <w:rPr>
          <w:rFonts w:ascii="Franklin Gothic Demi" w:eastAsia="Times New Roman" w:hAnsi="Franklin Gothic Demi" w:cs="Times New Roman"/>
          <w:b w:val="0"/>
          <w:bCs w:val="0"/>
          <w:iCs w:val="0"/>
          <w:color w:val="018BB3"/>
          <w:spacing w:val="26"/>
          <w:szCs w:val="36"/>
        </w:rPr>
        <w:t>CFX Token</w:t>
      </w:r>
      <w:bookmarkEnd w:id="16"/>
    </w:p>
    <w:p w:rsidR="00501222" w:rsidRDefault="000904D4" w:rsidP="00460C2C">
      <w:pPr>
        <w:rPr>
          <w:rFonts w:asciiTheme="majorHAnsi" w:eastAsia="Trebuchet MS" w:hAnsiTheme="majorHAnsi" w:cs="Trebuchet MS"/>
          <w:b/>
          <w:bCs/>
          <w:iCs/>
          <w:color w:val="000000"/>
          <w:sz w:val="28"/>
        </w:rPr>
      </w:pPr>
      <w:bookmarkStart w:id="17" w:name="_l3h01pka8heo" w:colFirst="0" w:colLast="0"/>
      <w:bookmarkEnd w:id="17"/>
      <w:r w:rsidRPr="003C15AA">
        <w:rPr>
          <w:rFonts w:asciiTheme="majorHAnsi" w:eastAsia="Trebuchet MS" w:hAnsiTheme="majorHAnsi" w:cs="Trebuchet MS"/>
          <w:b/>
          <w:bCs/>
          <w:iCs/>
          <w:color w:val="000000"/>
          <w:sz w:val="28"/>
        </w:rPr>
        <w:t>MAIN FEATURES AND REQUIREMENTS</w:t>
      </w:r>
    </w:p>
    <w:p w:rsidR="00900D44" w:rsidRPr="003C15AA" w:rsidRDefault="00900D44" w:rsidP="00460C2C">
      <w:pPr>
        <w:rPr>
          <w:rFonts w:asciiTheme="majorHAnsi" w:eastAsia="Trebuchet MS" w:hAnsiTheme="majorHAnsi" w:cs="Trebuchet MS"/>
          <w:b/>
          <w:bCs/>
          <w:iCs/>
          <w:color w:val="000000"/>
          <w:sz w:val="28"/>
        </w:rPr>
      </w:pPr>
    </w:p>
    <w:p w:rsidR="00900D44" w:rsidRPr="000904D4" w:rsidRDefault="00900D44" w:rsidP="00460C2C">
      <w:pPr>
        <w:numPr>
          <w:ilvl w:val="0"/>
          <w:numId w:val="20"/>
        </w:numPr>
        <w:spacing w:line="276" w:lineRule="auto"/>
        <w:contextualSpacing/>
        <w:rPr>
          <w:rFonts w:asciiTheme="majorHAnsi" w:hAnsiTheme="majorHAnsi"/>
        </w:rPr>
      </w:pPr>
      <w:r w:rsidRPr="000904D4">
        <w:rPr>
          <w:rFonts w:asciiTheme="majorHAnsi" w:hAnsiTheme="majorHAnsi"/>
        </w:rPr>
        <w:t>Should only be transferable to whitelisted wallets</w:t>
      </w:r>
    </w:p>
    <w:p w:rsidR="00900D44" w:rsidRPr="000904D4" w:rsidRDefault="00900D44" w:rsidP="00460C2C">
      <w:pPr>
        <w:numPr>
          <w:ilvl w:val="0"/>
          <w:numId w:val="20"/>
        </w:numPr>
        <w:spacing w:line="276" w:lineRule="auto"/>
        <w:contextualSpacing/>
        <w:rPr>
          <w:rFonts w:asciiTheme="majorHAnsi" w:hAnsiTheme="majorHAnsi"/>
        </w:rPr>
      </w:pPr>
      <w:r w:rsidRPr="000904D4">
        <w:rPr>
          <w:rFonts w:asciiTheme="majorHAnsi" w:hAnsiTheme="majorHAnsi"/>
        </w:rPr>
        <w:t xml:space="preserve">The requirement for whitelisting can be turned </w:t>
      </w:r>
      <w:r w:rsidRPr="000904D4">
        <w:rPr>
          <w:rFonts w:asciiTheme="majorHAnsi" w:hAnsiTheme="majorHAnsi"/>
          <w:noProof/>
        </w:rPr>
        <w:t>off</w:t>
      </w:r>
      <w:r w:rsidRPr="000904D4">
        <w:rPr>
          <w:rFonts w:asciiTheme="majorHAnsi" w:hAnsiTheme="majorHAnsi"/>
        </w:rPr>
        <w:t xml:space="preserve"> if </w:t>
      </w:r>
      <w:r w:rsidR="00080BA5" w:rsidRPr="000904D4">
        <w:rPr>
          <w:rFonts w:asciiTheme="majorHAnsi" w:hAnsiTheme="majorHAnsi"/>
        </w:rPr>
        <w:t xml:space="preserve">the </w:t>
      </w:r>
      <w:r w:rsidRPr="000904D4">
        <w:rPr>
          <w:rFonts w:asciiTheme="majorHAnsi" w:hAnsiTheme="majorHAnsi"/>
          <w:noProof/>
        </w:rPr>
        <w:t>token</w:t>
      </w:r>
      <w:r w:rsidRPr="000904D4">
        <w:rPr>
          <w:rFonts w:asciiTheme="majorHAnsi" w:hAnsiTheme="majorHAnsi"/>
        </w:rPr>
        <w:t xml:space="preserve"> is listed on a regulated centralized exchange or there is a change in regulations</w:t>
      </w:r>
    </w:p>
    <w:p w:rsidR="00900D44" w:rsidRDefault="00900D44" w:rsidP="00460C2C">
      <w:pPr>
        <w:numPr>
          <w:ilvl w:val="0"/>
          <w:numId w:val="20"/>
        </w:numPr>
        <w:spacing w:line="276" w:lineRule="auto"/>
        <w:contextualSpacing/>
        <w:rPr>
          <w:rFonts w:asciiTheme="majorHAnsi" w:hAnsiTheme="majorHAnsi"/>
        </w:rPr>
      </w:pPr>
      <w:r w:rsidRPr="000904D4">
        <w:rPr>
          <w:rFonts w:asciiTheme="majorHAnsi" w:hAnsiTheme="majorHAnsi"/>
        </w:rPr>
        <w:t>Compatible with the ERC20 interface</w:t>
      </w:r>
    </w:p>
    <w:p w:rsidR="00501222" w:rsidRPr="000904D4" w:rsidRDefault="00501222" w:rsidP="00460C2C">
      <w:pPr>
        <w:spacing w:line="276" w:lineRule="auto"/>
        <w:ind w:left="720"/>
        <w:contextualSpacing/>
        <w:rPr>
          <w:rFonts w:asciiTheme="majorHAnsi" w:hAnsiTheme="majorHAnsi"/>
        </w:rPr>
      </w:pPr>
    </w:p>
    <w:p w:rsidR="00900D44" w:rsidRPr="003C15AA" w:rsidRDefault="000904D4" w:rsidP="00460C2C">
      <w:pPr>
        <w:rPr>
          <w:rFonts w:asciiTheme="majorHAnsi" w:eastAsia="Trebuchet MS" w:hAnsiTheme="majorHAnsi" w:cs="Trebuchet MS"/>
          <w:b/>
          <w:bCs/>
          <w:iCs/>
          <w:color w:val="000000"/>
          <w:sz w:val="28"/>
        </w:rPr>
      </w:pPr>
      <w:bookmarkStart w:id="18" w:name="_b3x7fnizgprr" w:colFirst="0" w:colLast="0"/>
      <w:bookmarkEnd w:id="18"/>
      <w:r w:rsidRPr="003C15AA">
        <w:rPr>
          <w:rFonts w:asciiTheme="majorHAnsi" w:eastAsia="Trebuchet MS" w:hAnsiTheme="majorHAnsi" w:cs="Trebuchet MS"/>
          <w:b/>
          <w:bCs/>
          <w:iCs/>
          <w:color w:val="000000"/>
          <w:sz w:val="28"/>
        </w:rPr>
        <w:t>IMPLEMENTATION DETAILS</w:t>
      </w:r>
    </w:p>
    <w:p w:rsidR="00900D44" w:rsidRPr="000904D4" w:rsidRDefault="001269CC" w:rsidP="00460C2C">
      <w:pPr>
        <w:pStyle w:val="Titolo3"/>
        <w:rPr>
          <w:rFonts w:asciiTheme="majorHAnsi" w:hAnsiTheme="majorHAnsi"/>
          <w:sz w:val="24"/>
          <w:szCs w:val="24"/>
        </w:rPr>
      </w:pPr>
      <w:bookmarkStart w:id="19" w:name="_u9jqlx1c8u60" w:colFirst="0" w:colLast="0"/>
      <w:bookmarkEnd w:id="19"/>
      <w:r w:rsidRPr="000904D4">
        <w:rPr>
          <w:rFonts w:asciiTheme="majorHAnsi" w:hAnsiTheme="majorHAnsi"/>
          <w:sz w:val="24"/>
          <w:szCs w:val="24"/>
        </w:rPr>
        <w:t xml:space="preserve">Base </w:t>
      </w:r>
      <w:r w:rsidRPr="000904D4">
        <w:rPr>
          <w:rFonts w:asciiTheme="majorHAnsi" w:hAnsiTheme="majorHAnsi"/>
          <w:noProof/>
          <w:sz w:val="24"/>
          <w:szCs w:val="24"/>
        </w:rPr>
        <w:t>Token</w:t>
      </w:r>
    </w:p>
    <w:p w:rsidR="00900D44" w:rsidRPr="000904D4" w:rsidRDefault="00900D44" w:rsidP="00460C2C">
      <w:pPr>
        <w:rPr>
          <w:rFonts w:asciiTheme="majorHAnsi" w:hAnsiTheme="majorHAnsi"/>
        </w:rPr>
      </w:pPr>
      <w:r w:rsidRPr="000904D4">
        <w:rPr>
          <w:rFonts w:asciiTheme="majorHAnsi" w:hAnsiTheme="majorHAnsi"/>
        </w:rPr>
        <w:t>The implementation will be based on the ERC20 contract provided by the OpenZeppelin (</w:t>
      </w:r>
      <w:hyperlink r:id="rId17">
        <w:r w:rsidRPr="000904D4">
          <w:rPr>
            <w:rFonts w:asciiTheme="majorHAnsi" w:hAnsiTheme="majorHAnsi"/>
            <w:color w:val="1155CC"/>
            <w:u w:val="single"/>
          </w:rPr>
          <w:t>https://openzeppelin.org/</w:t>
        </w:r>
      </w:hyperlink>
      <w:r w:rsidRPr="000904D4">
        <w:rPr>
          <w:rFonts w:asciiTheme="majorHAnsi" w:hAnsiTheme="majorHAnsi"/>
        </w:rPr>
        <w:t>) organization on the master branch of their GitHub repository. These contracts are well-tested and reviewed, and have been successfully utilized in many production deployments without any incidents.</w:t>
      </w:r>
    </w:p>
    <w:p w:rsidR="00900D44" w:rsidRPr="000904D4" w:rsidRDefault="001269CC" w:rsidP="00460C2C">
      <w:pPr>
        <w:pStyle w:val="Titolo3"/>
        <w:rPr>
          <w:rFonts w:asciiTheme="majorHAnsi" w:hAnsiTheme="majorHAnsi"/>
          <w:sz w:val="24"/>
          <w:szCs w:val="24"/>
        </w:rPr>
      </w:pPr>
      <w:bookmarkStart w:id="20" w:name="_99x8ombed6g0" w:colFirst="0" w:colLast="0"/>
      <w:bookmarkEnd w:id="20"/>
      <w:r w:rsidRPr="000904D4">
        <w:rPr>
          <w:rFonts w:asciiTheme="majorHAnsi" w:hAnsiTheme="majorHAnsi"/>
          <w:sz w:val="24"/>
          <w:szCs w:val="24"/>
        </w:rPr>
        <w:t>Mintable</w:t>
      </w:r>
    </w:p>
    <w:p w:rsidR="00900D44" w:rsidRPr="000904D4" w:rsidRDefault="00900D44" w:rsidP="00682692">
      <w:pPr>
        <w:rPr>
          <w:rFonts w:asciiTheme="majorHAnsi" w:hAnsiTheme="majorHAnsi"/>
        </w:rPr>
      </w:pPr>
      <w:r w:rsidRPr="000904D4">
        <w:rPr>
          <w:rFonts w:asciiTheme="majorHAnsi" w:hAnsiTheme="majorHAnsi"/>
        </w:rPr>
        <w:t>This implementation adds minting to the base token, which gives CFX the ability to issue tokens in tranches for later stages of the sale. This requires us to create the owner role, which is an address with the privilege to mint tokens. CFX will need to associate this role with a secure account, preferably a multisig wallet.</w:t>
      </w:r>
      <w:bookmarkStart w:id="21" w:name="_kdei1nu105kr" w:colFirst="0" w:colLast="0"/>
      <w:bookmarkEnd w:id="21"/>
      <w:r w:rsidR="00682692">
        <w:rPr>
          <w:rFonts w:asciiTheme="majorHAnsi" w:hAnsiTheme="majorHAnsi"/>
        </w:rPr>
        <w:br/>
      </w:r>
      <w:r w:rsidR="00682692">
        <w:rPr>
          <w:rFonts w:asciiTheme="majorHAnsi" w:hAnsiTheme="majorHAnsi"/>
        </w:rPr>
        <w:br/>
      </w:r>
      <w:r w:rsidR="001269CC" w:rsidRPr="00682692">
        <w:rPr>
          <w:rFonts w:asciiTheme="majorHAnsi" w:hAnsiTheme="majorHAnsi"/>
          <w:b/>
        </w:rPr>
        <w:t>Upgradable</w:t>
      </w:r>
    </w:p>
    <w:p w:rsidR="00900D44" w:rsidRPr="000904D4" w:rsidRDefault="00900D44" w:rsidP="00460C2C">
      <w:pPr>
        <w:rPr>
          <w:rFonts w:asciiTheme="majorHAnsi" w:hAnsiTheme="majorHAnsi"/>
        </w:rPr>
      </w:pPr>
      <w:r w:rsidRPr="000904D4">
        <w:rPr>
          <w:rFonts w:asciiTheme="majorHAnsi" w:hAnsiTheme="majorHAnsi"/>
        </w:rPr>
        <w:t xml:space="preserve">Good software engineering practices mandate an upgrade path for any deployed software and hardware. We are going to use an upgradable and mintable version of the ERC20. Making the token </w:t>
      </w:r>
      <w:r w:rsidRPr="000904D4">
        <w:rPr>
          <w:rFonts w:asciiTheme="majorHAnsi" w:hAnsiTheme="majorHAnsi"/>
        </w:rPr>
        <w:lastRenderedPageBreak/>
        <w:t>upgradable allows us to correct any possible bugs that could be found in the token’s lifetime or switch to newer standards without any downtime/</w:t>
      </w:r>
      <w:r w:rsidRPr="000904D4">
        <w:rPr>
          <w:rFonts w:asciiTheme="majorHAnsi" w:hAnsiTheme="majorHAnsi"/>
          <w:noProof/>
        </w:rPr>
        <w:t>outage</w:t>
      </w:r>
      <w:r w:rsidRPr="000904D4">
        <w:rPr>
          <w:rFonts w:asciiTheme="majorHAnsi" w:hAnsiTheme="majorHAnsi"/>
        </w:rPr>
        <w:t xml:space="preserve"> while keeping the same </w:t>
      </w:r>
      <w:r w:rsidRPr="00F730AD">
        <w:rPr>
          <w:rFonts w:asciiTheme="majorHAnsi" w:hAnsiTheme="majorHAnsi"/>
          <w:noProof/>
        </w:rPr>
        <w:t>contract</w:t>
      </w:r>
      <w:r w:rsidRPr="000904D4">
        <w:rPr>
          <w:rFonts w:asciiTheme="majorHAnsi" w:hAnsiTheme="majorHAnsi"/>
        </w:rPr>
        <w:t xml:space="preserve"> address.</w:t>
      </w:r>
    </w:p>
    <w:p w:rsidR="00900D44" w:rsidRPr="007E2132" w:rsidRDefault="00900D44" w:rsidP="00460C2C">
      <w:pPr>
        <w:rPr>
          <w:rFonts w:asciiTheme="majorHAnsi" w:hAnsiTheme="majorHAnsi"/>
        </w:rPr>
      </w:pPr>
    </w:p>
    <w:p w:rsidR="00900D44" w:rsidRPr="000904D4" w:rsidRDefault="00900D44" w:rsidP="00460C2C">
      <w:pPr>
        <w:rPr>
          <w:rFonts w:asciiTheme="majorHAnsi" w:hAnsiTheme="majorHAnsi"/>
        </w:rPr>
      </w:pPr>
      <w:r w:rsidRPr="007E2132">
        <w:rPr>
          <w:rFonts w:asciiTheme="majorHAnsi" w:hAnsiTheme="majorHAnsi"/>
        </w:rPr>
        <w:t xml:space="preserve">While it has been difficult in the past to provide good upgradability for smart contracts, the Metropolis hard fork deployed September </w:t>
      </w:r>
      <w:r w:rsidRPr="00F730AD">
        <w:rPr>
          <w:rFonts w:asciiTheme="majorHAnsi" w:hAnsiTheme="majorHAnsi"/>
          <w:noProof/>
        </w:rPr>
        <w:t>18th</w:t>
      </w:r>
      <w:r w:rsidR="00F730AD">
        <w:rPr>
          <w:rFonts w:asciiTheme="majorHAnsi" w:hAnsiTheme="majorHAnsi"/>
          <w:noProof/>
        </w:rPr>
        <w:t>,</w:t>
      </w:r>
      <w:r w:rsidRPr="007E2132">
        <w:rPr>
          <w:rFonts w:asciiTheme="majorHAnsi" w:hAnsiTheme="majorHAnsi"/>
        </w:rPr>
        <w:t xml:space="preserve"> 2017 introduced support for </w:t>
      </w:r>
      <w:r w:rsidRPr="00F730AD">
        <w:rPr>
          <w:rFonts w:asciiTheme="majorHAnsi" w:hAnsiTheme="majorHAnsi"/>
          <w:b/>
          <w:i/>
          <w:noProof/>
        </w:rPr>
        <w:t>returndatasize</w:t>
      </w:r>
      <w:r w:rsidRPr="007E2132">
        <w:rPr>
          <w:rFonts w:asciiTheme="majorHAnsi" w:hAnsiTheme="majorHAnsi"/>
        </w:rPr>
        <w:t xml:space="preserve"> in the </w:t>
      </w:r>
      <w:r w:rsidRPr="00F730AD">
        <w:rPr>
          <w:rFonts w:asciiTheme="majorHAnsi" w:hAnsiTheme="majorHAnsi"/>
          <w:b/>
          <w:i/>
          <w:noProof/>
        </w:rPr>
        <w:t>delegatecall</w:t>
      </w:r>
      <w:r w:rsidRPr="007E2132">
        <w:rPr>
          <w:rFonts w:asciiTheme="majorHAnsi" w:hAnsiTheme="majorHAnsi"/>
        </w:rPr>
        <w:t xml:space="preserve"> opcode. Using this, we can separate the implementation of the contract from the deployment address of the contract</w:t>
      </w:r>
      <w:r w:rsidRPr="000904D4">
        <w:rPr>
          <w:rFonts w:asciiTheme="majorHAnsi" w:hAnsiTheme="majorHAnsi"/>
        </w:rPr>
        <w:t xml:space="preserve"> using the Solidity </w:t>
      </w:r>
      <w:r w:rsidRPr="000904D4">
        <w:rPr>
          <w:rFonts w:asciiTheme="majorHAnsi" w:hAnsiTheme="majorHAnsi"/>
          <w:b/>
          <w:i/>
        </w:rPr>
        <w:t>library</w:t>
      </w:r>
      <w:r w:rsidRPr="000904D4">
        <w:rPr>
          <w:rFonts w:asciiTheme="majorHAnsi" w:hAnsiTheme="majorHAnsi"/>
        </w:rPr>
        <w:t xml:space="preserve"> function.</w:t>
      </w:r>
    </w:p>
    <w:p w:rsidR="00900D44" w:rsidRPr="000904D4" w:rsidRDefault="001269CC" w:rsidP="00460C2C">
      <w:pPr>
        <w:pStyle w:val="Titolo3"/>
        <w:rPr>
          <w:rFonts w:asciiTheme="majorHAnsi" w:hAnsiTheme="majorHAnsi"/>
          <w:sz w:val="24"/>
          <w:szCs w:val="24"/>
        </w:rPr>
      </w:pPr>
      <w:bookmarkStart w:id="22" w:name="_pqxq0ffahk3v" w:colFirst="0" w:colLast="0"/>
      <w:bookmarkEnd w:id="22"/>
      <w:r w:rsidRPr="000904D4">
        <w:rPr>
          <w:rFonts w:asciiTheme="majorHAnsi" w:hAnsiTheme="majorHAnsi"/>
          <w:sz w:val="24"/>
          <w:szCs w:val="24"/>
        </w:rPr>
        <w:t>Whitelisting</w:t>
      </w:r>
    </w:p>
    <w:p w:rsidR="00900D44" w:rsidRPr="000904D4" w:rsidRDefault="00900D44" w:rsidP="00460C2C">
      <w:pPr>
        <w:numPr>
          <w:ilvl w:val="0"/>
          <w:numId w:val="21"/>
        </w:numPr>
        <w:spacing w:line="276" w:lineRule="auto"/>
        <w:contextualSpacing/>
        <w:rPr>
          <w:rFonts w:asciiTheme="majorHAnsi" w:hAnsiTheme="majorHAnsi"/>
        </w:rPr>
      </w:pPr>
      <w:r w:rsidRPr="000904D4">
        <w:rPr>
          <w:rFonts w:asciiTheme="majorHAnsi" w:hAnsiTheme="majorHAnsi"/>
        </w:rPr>
        <w:t xml:space="preserve">A global boolean flag, </w:t>
      </w:r>
      <w:r w:rsidRPr="000904D4">
        <w:rPr>
          <w:rFonts w:asciiTheme="majorHAnsi" w:hAnsiTheme="majorHAnsi"/>
          <w:b/>
          <w:i/>
        </w:rPr>
        <w:t>isWhitelistActive</w:t>
      </w:r>
      <w:r w:rsidRPr="000904D4">
        <w:rPr>
          <w:rFonts w:asciiTheme="majorHAnsi" w:hAnsiTheme="majorHAnsi"/>
        </w:rPr>
        <w:t xml:space="preserve">, will be added to the </w:t>
      </w:r>
      <w:r w:rsidRPr="00F730AD">
        <w:rPr>
          <w:rFonts w:asciiTheme="majorHAnsi" w:hAnsiTheme="majorHAnsi"/>
          <w:noProof/>
        </w:rPr>
        <w:t>contract</w:t>
      </w:r>
      <w:r w:rsidRPr="000904D4">
        <w:rPr>
          <w:rFonts w:asciiTheme="majorHAnsi" w:hAnsiTheme="majorHAnsi"/>
        </w:rPr>
        <w:t xml:space="preserve"> storage. This flag can be flipped by the owner role and will allow enabling/disabling the whitelist checking for transfers.</w:t>
      </w:r>
    </w:p>
    <w:p w:rsidR="00900D44" w:rsidRPr="000904D4" w:rsidRDefault="00900D44" w:rsidP="00460C2C">
      <w:pPr>
        <w:numPr>
          <w:ilvl w:val="0"/>
          <w:numId w:val="21"/>
        </w:numPr>
        <w:spacing w:line="276" w:lineRule="auto"/>
        <w:contextualSpacing/>
        <w:rPr>
          <w:rFonts w:asciiTheme="majorHAnsi" w:hAnsiTheme="majorHAnsi"/>
        </w:rPr>
      </w:pPr>
      <w:r w:rsidRPr="000904D4">
        <w:rPr>
          <w:rFonts w:asciiTheme="majorHAnsi" w:hAnsiTheme="majorHAnsi"/>
        </w:rPr>
        <w:t xml:space="preserve">Each account will receive a </w:t>
      </w:r>
      <w:r w:rsidRPr="000904D4">
        <w:rPr>
          <w:rFonts w:asciiTheme="majorHAnsi" w:hAnsiTheme="majorHAnsi"/>
          <w:b/>
          <w:i/>
        </w:rPr>
        <w:t>whitelisted</w:t>
      </w:r>
      <w:r w:rsidRPr="000904D4">
        <w:rPr>
          <w:rFonts w:asciiTheme="majorHAnsi" w:hAnsiTheme="majorHAnsi"/>
        </w:rPr>
        <w:t xml:space="preserve"> flag, which will indicate if the account is able to receive/send tokens. Every account is </w:t>
      </w:r>
      <w:r w:rsidRPr="00F730AD">
        <w:rPr>
          <w:rFonts w:asciiTheme="majorHAnsi" w:hAnsiTheme="majorHAnsi"/>
          <w:b/>
          <w:i/>
          <w:noProof/>
        </w:rPr>
        <w:t>blacklisted</w:t>
      </w:r>
      <w:r w:rsidR="00F730AD">
        <w:rPr>
          <w:rFonts w:asciiTheme="majorHAnsi" w:hAnsiTheme="majorHAnsi"/>
          <w:b/>
          <w:i/>
          <w:noProof/>
        </w:rPr>
        <w:t xml:space="preserve"> </w:t>
      </w:r>
      <w:r w:rsidRPr="00F730AD">
        <w:rPr>
          <w:rFonts w:asciiTheme="majorHAnsi" w:hAnsiTheme="majorHAnsi"/>
          <w:noProof/>
        </w:rPr>
        <w:t>by</w:t>
      </w:r>
      <w:r w:rsidRPr="000904D4">
        <w:rPr>
          <w:rFonts w:asciiTheme="majorHAnsi" w:hAnsiTheme="majorHAnsi"/>
        </w:rPr>
        <w:t xml:space="preserve"> default.</w:t>
      </w:r>
    </w:p>
    <w:p w:rsidR="00900D44" w:rsidRPr="000904D4" w:rsidRDefault="00900D44" w:rsidP="00460C2C">
      <w:pPr>
        <w:numPr>
          <w:ilvl w:val="0"/>
          <w:numId w:val="21"/>
        </w:numPr>
        <w:spacing w:line="276" w:lineRule="auto"/>
        <w:contextualSpacing/>
        <w:rPr>
          <w:rFonts w:asciiTheme="majorHAnsi" w:hAnsiTheme="majorHAnsi"/>
        </w:rPr>
      </w:pPr>
      <w:r w:rsidRPr="000904D4">
        <w:rPr>
          <w:rFonts w:asciiTheme="majorHAnsi" w:hAnsiTheme="majorHAnsi"/>
          <w:b/>
          <w:i/>
        </w:rPr>
        <w:t>addToWhitelist(address)</w:t>
      </w:r>
      <w:r w:rsidRPr="000904D4">
        <w:rPr>
          <w:rFonts w:asciiTheme="majorHAnsi" w:hAnsiTheme="majorHAnsi"/>
        </w:rPr>
        <w:t xml:space="preserve">and </w:t>
      </w:r>
      <w:r w:rsidRPr="00F730AD">
        <w:rPr>
          <w:rFonts w:asciiTheme="majorHAnsi" w:hAnsiTheme="majorHAnsi"/>
          <w:b/>
          <w:i/>
          <w:noProof/>
        </w:rPr>
        <w:t>removeFrom</w:t>
      </w:r>
      <w:r w:rsidRPr="000904D4">
        <w:rPr>
          <w:rFonts w:asciiTheme="majorHAnsi" w:hAnsiTheme="majorHAnsi"/>
          <w:b/>
          <w:i/>
        </w:rPr>
        <w:t>Whitelist(address)</w:t>
      </w:r>
      <w:r w:rsidRPr="000904D4">
        <w:rPr>
          <w:rFonts w:asciiTheme="majorHAnsi" w:hAnsiTheme="majorHAnsi"/>
        </w:rPr>
        <w:t xml:space="preserve"> functions will be added, which can set any account as whitelisted or blacklisted. These functions will only be accessible by the activator role.</w:t>
      </w:r>
    </w:p>
    <w:p w:rsidR="00900D44" w:rsidRPr="000904D4" w:rsidRDefault="00900D44" w:rsidP="00460C2C">
      <w:pPr>
        <w:numPr>
          <w:ilvl w:val="0"/>
          <w:numId w:val="21"/>
        </w:numPr>
        <w:spacing w:line="276" w:lineRule="auto"/>
        <w:contextualSpacing/>
        <w:rPr>
          <w:rFonts w:asciiTheme="majorHAnsi" w:hAnsiTheme="majorHAnsi"/>
        </w:rPr>
      </w:pPr>
      <w:r w:rsidRPr="000904D4">
        <w:rPr>
          <w:rFonts w:asciiTheme="majorHAnsi" w:hAnsiTheme="majorHAnsi"/>
          <w:b/>
          <w:i/>
        </w:rPr>
        <w:t xml:space="preserve">addToWhitelist(address[]) </w:t>
      </w:r>
      <w:r w:rsidRPr="000904D4">
        <w:rPr>
          <w:rFonts w:asciiTheme="majorHAnsi" w:hAnsiTheme="majorHAnsi"/>
        </w:rPr>
        <w:t xml:space="preserve">and </w:t>
      </w:r>
      <w:r w:rsidRPr="00F730AD">
        <w:rPr>
          <w:rFonts w:asciiTheme="majorHAnsi" w:hAnsiTheme="majorHAnsi"/>
          <w:b/>
          <w:i/>
          <w:noProof/>
        </w:rPr>
        <w:t>removeFrom</w:t>
      </w:r>
      <w:r w:rsidRPr="000904D4">
        <w:rPr>
          <w:rFonts w:asciiTheme="majorHAnsi" w:hAnsiTheme="majorHAnsi"/>
          <w:b/>
          <w:i/>
        </w:rPr>
        <w:t>Whitelist(address[])</w:t>
      </w:r>
      <w:r w:rsidRPr="000904D4">
        <w:rPr>
          <w:rFonts w:asciiTheme="majorHAnsi" w:hAnsiTheme="majorHAnsi"/>
        </w:rPr>
        <w:t xml:space="preserve"> functions will be added, which can set a group of accounts as whitelisted or blacklisted. They call the previous functions in a loop for the given array of addresses. These functions will only be accessible by the activator role.</w:t>
      </w:r>
    </w:p>
    <w:p w:rsidR="00900D44" w:rsidRPr="000904D4" w:rsidRDefault="00900D44" w:rsidP="00460C2C">
      <w:pPr>
        <w:numPr>
          <w:ilvl w:val="0"/>
          <w:numId w:val="21"/>
        </w:numPr>
        <w:spacing w:line="276" w:lineRule="auto"/>
        <w:contextualSpacing/>
        <w:rPr>
          <w:rFonts w:asciiTheme="majorHAnsi" w:hAnsiTheme="majorHAnsi"/>
        </w:rPr>
      </w:pPr>
      <w:r w:rsidRPr="000904D4">
        <w:rPr>
          <w:rFonts w:asciiTheme="majorHAnsi" w:hAnsiTheme="majorHAnsi"/>
        </w:rPr>
        <w:t xml:space="preserve">The </w:t>
      </w:r>
      <w:r w:rsidRPr="000904D4">
        <w:rPr>
          <w:rFonts w:asciiTheme="majorHAnsi" w:hAnsiTheme="majorHAnsi"/>
          <w:b/>
          <w:i/>
        </w:rPr>
        <w:t>transfer()</w:t>
      </w:r>
      <w:r w:rsidRPr="000904D4">
        <w:rPr>
          <w:rFonts w:asciiTheme="majorHAnsi" w:hAnsiTheme="majorHAnsi"/>
        </w:rPr>
        <w:t xml:space="preserve"> function will be modified to respect the </w:t>
      </w:r>
      <w:r w:rsidRPr="000904D4">
        <w:rPr>
          <w:rFonts w:asciiTheme="majorHAnsi" w:hAnsiTheme="majorHAnsi"/>
          <w:b/>
          <w:i/>
        </w:rPr>
        <w:t>whitelist</w:t>
      </w:r>
      <w:r w:rsidRPr="000904D4">
        <w:rPr>
          <w:rFonts w:asciiTheme="majorHAnsi" w:hAnsiTheme="majorHAnsi"/>
        </w:rPr>
        <w:t xml:space="preserve"> and the </w:t>
      </w:r>
      <w:r w:rsidRPr="000904D4">
        <w:rPr>
          <w:rFonts w:asciiTheme="majorHAnsi" w:hAnsiTheme="majorHAnsi"/>
          <w:b/>
          <w:i/>
        </w:rPr>
        <w:t>isWhitelistActive</w:t>
      </w:r>
      <w:r w:rsidRPr="000904D4">
        <w:rPr>
          <w:rFonts w:asciiTheme="majorHAnsi" w:hAnsiTheme="majorHAnsi"/>
        </w:rPr>
        <w:t xml:space="preserve"> flag.</w:t>
      </w:r>
    </w:p>
    <w:p w:rsidR="00900D44" w:rsidRPr="000904D4" w:rsidRDefault="00900D44" w:rsidP="00460C2C">
      <w:pPr>
        <w:numPr>
          <w:ilvl w:val="0"/>
          <w:numId w:val="21"/>
        </w:numPr>
        <w:spacing w:line="276" w:lineRule="auto"/>
        <w:contextualSpacing/>
        <w:rPr>
          <w:rFonts w:asciiTheme="majorHAnsi" w:hAnsiTheme="majorHAnsi"/>
        </w:rPr>
      </w:pPr>
      <w:r w:rsidRPr="000904D4">
        <w:rPr>
          <w:rFonts w:asciiTheme="majorHAnsi" w:hAnsiTheme="majorHAnsi"/>
        </w:rPr>
        <w:t xml:space="preserve">An additional role, </w:t>
      </w:r>
      <w:r w:rsidRPr="000904D4">
        <w:rPr>
          <w:rFonts w:asciiTheme="majorHAnsi" w:hAnsiTheme="majorHAnsi"/>
          <w:b/>
          <w:i/>
        </w:rPr>
        <w:t>activator</w:t>
      </w:r>
      <w:r w:rsidRPr="000904D4">
        <w:rPr>
          <w:rFonts w:asciiTheme="majorHAnsi" w:hAnsiTheme="majorHAnsi"/>
        </w:rPr>
        <w:t xml:space="preserve">, will be added. This role will have the right to call the </w:t>
      </w:r>
      <w:r w:rsidRPr="000904D4">
        <w:rPr>
          <w:rFonts w:asciiTheme="majorHAnsi" w:hAnsiTheme="majorHAnsi"/>
          <w:b/>
          <w:i/>
        </w:rPr>
        <w:t>activate()</w:t>
      </w:r>
      <w:r w:rsidRPr="000904D4">
        <w:rPr>
          <w:rFonts w:asciiTheme="majorHAnsi" w:hAnsiTheme="majorHAnsi"/>
        </w:rPr>
        <w:t xml:space="preserve"> function. The role will be given to the sale stage contract to begin with, and to any address that requires this privilege in the future.</w:t>
      </w:r>
    </w:p>
    <w:p w:rsidR="00900D44" w:rsidRDefault="00900D44" w:rsidP="00460C2C">
      <w:pPr>
        <w:numPr>
          <w:ilvl w:val="0"/>
          <w:numId w:val="21"/>
        </w:numPr>
        <w:spacing w:line="276" w:lineRule="auto"/>
        <w:contextualSpacing/>
        <w:rPr>
          <w:rFonts w:asciiTheme="majorHAnsi" w:hAnsiTheme="majorHAnsi"/>
        </w:rPr>
      </w:pPr>
      <w:r w:rsidRPr="000904D4">
        <w:rPr>
          <w:rFonts w:asciiTheme="majorHAnsi" w:hAnsiTheme="majorHAnsi"/>
        </w:rPr>
        <w:t xml:space="preserve">The function </w:t>
      </w:r>
      <w:r w:rsidRPr="00F730AD">
        <w:rPr>
          <w:rFonts w:asciiTheme="majorHAnsi" w:hAnsiTheme="majorHAnsi"/>
          <w:b/>
          <w:i/>
          <w:noProof/>
        </w:rPr>
        <w:t>activate</w:t>
      </w:r>
      <w:r w:rsidRPr="000904D4">
        <w:rPr>
          <w:rFonts w:asciiTheme="majorHAnsi" w:hAnsiTheme="majorHAnsi"/>
          <w:b/>
          <w:i/>
        </w:rPr>
        <w:t>(address, amount)</w:t>
      </w:r>
      <w:r w:rsidRPr="000904D4">
        <w:rPr>
          <w:rFonts w:asciiTheme="majorHAnsi" w:hAnsiTheme="majorHAnsi"/>
        </w:rPr>
        <w:t xml:space="preserve"> will be created. When called, this function will first whitelist an investor if not already whitelisted, then transfer the stated amount of tokens to the investor.</w:t>
      </w:r>
    </w:p>
    <w:p w:rsidR="0023795D" w:rsidRPr="000904D4" w:rsidRDefault="0023795D" w:rsidP="00460C2C">
      <w:pPr>
        <w:spacing w:line="276" w:lineRule="auto"/>
        <w:ind w:left="720"/>
        <w:contextualSpacing/>
        <w:rPr>
          <w:rFonts w:asciiTheme="majorHAnsi" w:hAnsiTheme="majorHAnsi"/>
        </w:rPr>
      </w:pPr>
    </w:p>
    <w:p w:rsidR="00900D44" w:rsidRDefault="001269CC" w:rsidP="00460C2C">
      <w:pPr>
        <w:rPr>
          <w:rFonts w:asciiTheme="majorHAnsi" w:hAnsiTheme="majorHAnsi"/>
          <w:b/>
        </w:rPr>
      </w:pPr>
      <w:bookmarkStart w:id="23" w:name="_evmzxfbul9o0" w:colFirst="0" w:colLast="0"/>
      <w:bookmarkEnd w:id="23"/>
      <w:r w:rsidRPr="007E2132">
        <w:rPr>
          <w:rFonts w:asciiTheme="majorHAnsi" w:hAnsiTheme="majorHAnsi"/>
          <w:b/>
        </w:rPr>
        <w:t>Process description for token sale:</w:t>
      </w:r>
    </w:p>
    <w:p w:rsidR="00E37AD7" w:rsidRPr="007E2132" w:rsidRDefault="00900D44" w:rsidP="00460C2C">
      <w:pPr>
        <w:numPr>
          <w:ilvl w:val="0"/>
          <w:numId w:val="19"/>
        </w:numPr>
        <w:spacing w:line="276" w:lineRule="auto"/>
        <w:contextualSpacing/>
        <w:rPr>
          <w:rFonts w:asciiTheme="majorHAnsi" w:hAnsiTheme="majorHAnsi"/>
        </w:rPr>
      </w:pPr>
      <w:r w:rsidRPr="000F22ED">
        <w:rPr>
          <w:rFonts w:asciiTheme="majorHAnsi" w:hAnsiTheme="majorHAnsi"/>
        </w:rPr>
        <w:t>An investor will arrive at the Sale Dapp and verify his or her identity. Once all KYC and AML requirements are cleared, an investment receipt is issued for the Investor.</w:t>
      </w:r>
    </w:p>
    <w:p w:rsidR="00E37AD7" w:rsidRPr="007E2132" w:rsidRDefault="00900D44" w:rsidP="00460C2C">
      <w:pPr>
        <w:numPr>
          <w:ilvl w:val="0"/>
          <w:numId w:val="19"/>
        </w:numPr>
        <w:spacing w:line="276" w:lineRule="auto"/>
        <w:contextualSpacing/>
        <w:rPr>
          <w:rFonts w:asciiTheme="majorHAnsi" w:hAnsiTheme="majorHAnsi"/>
        </w:rPr>
      </w:pPr>
      <w:r w:rsidRPr="000F22ED">
        <w:rPr>
          <w:rFonts w:asciiTheme="majorHAnsi" w:hAnsiTheme="majorHAnsi"/>
        </w:rPr>
        <w:t>The receipt is signed by the operator of the Sale Dapp and contains information for the Sale contract to verify if a transaction is eligible for investment or not.</w:t>
      </w:r>
    </w:p>
    <w:p w:rsidR="00E37AD7" w:rsidRPr="007E2132" w:rsidRDefault="00900D44" w:rsidP="00460C2C">
      <w:pPr>
        <w:numPr>
          <w:ilvl w:val="0"/>
          <w:numId w:val="19"/>
        </w:numPr>
        <w:spacing w:line="276" w:lineRule="auto"/>
        <w:contextualSpacing/>
        <w:rPr>
          <w:rFonts w:asciiTheme="majorHAnsi" w:hAnsiTheme="majorHAnsi"/>
        </w:rPr>
      </w:pPr>
      <w:r w:rsidRPr="000F22ED">
        <w:rPr>
          <w:rFonts w:asciiTheme="majorHAnsi" w:hAnsiTheme="majorHAnsi"/>
        </w:rPr>
        <w:lastRenderedPageBreak/>
        <w:t>The investor sends an Ethereum transaction, including the receipt. The investment is forwarded to the wallet of CFX.</w:t>
      </w:r>
    </w:p>
    <w:p w:rsidR="000904D4" w:rsidRPr="00206D79" w:rsidRDefault="00900D44" w:rsidP="00460C2C">
      <w:pPr>
        <w:numPr>
          <w:ilvl w:val="0"/>
          <w:numId w:val="19"/>
        </w:numPr>
        <w:spacing w:line="276" w:lineRule="auto"/>
        <w:contextualSpacing/>
        <w:rPr>
          <w:rFonts w:asciiTheme="majorHAnsi" w:hAnsiTheme="majorHAnsi"/>
        </w:rPr>
      </w:pPr>
      <w:r w:rsidRPr="000F22ED">
        <w:rPr>
          <w:rFonts w:asciiTheme="majorHAnsi" w:hAnsiTheme="majorHAnsi"/>
        </w:rPr>
        <w:t xml:space="preserve">The sale contract calls the </w:t>
      </w:r>
      <w:r w:rsidRPr="000F22ED">
        <w:rPr>
          <w:rFonts w:asciiTheme="majorHAnsi" w:hAnsiTheme="majorHAnsi"/>
          <w:b/>
          <w:i/>
        </w:rPr>
        <w:t>activate(address, amount)</w:t>
      </w:r>
      <w:r w:rsidRPr="000F22ED">
        <w:rPr>
          <w:rFonts w:asciiTheme="majorHAnsi" w:hAnsiTheme="majorHAnsi"/>
        </w:rPr>
        <w:t xml:space="preserve"> function on the CFX token contract, which first whitelists the account if it is not already whitelisted, and then transfers the appropriate amount of tokens from the account of the sale contract to the account of the investor.</w:t>
      </w:r>
      <w:r w:rsidR="00206D79">
        <w:rPr>
          <w:rFonts w:asciiTheme="majorHAnsi" w:hAnsiTheme="majorHAnsi"/>
        </w:rPr>
        <w:br/>
      </w:r>
    </w:p>
    <w:p w:rsidR="000904D4" w:rsidRDefault="005C4B26" w:rsidP="00206D79">
      <w:pPr>
        <w:spacing w:line="276" w:lineRule="auto"/>
        <w:contextualSpacing/>
        <w:jc w:val="center"/>
        <w:rPr>
          <w:rFonts w:ascii="Palatino Linotype" w:hAnsi="Palatino Linotype"/>
        </w:rPr>
      </w:pPr>
      <w:r>
        <w:rPr>
          <w:rFonts w:ascii="Palatino Linotype" w:hAnsi="Palatino Linotype"/>
          <w:noProof/>
          <w:lang w:val="en-US" w:eastAsia="en-US"/>
        </w:rPr>
        <w:drawing>
          <wp:inline distT="0" distB="0" distL="0" distR="0">
            <wp:extent cx="6211570" cy="48006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moming\AppData\Local\Microsoft\Windows\INetCache\Content.Word\Sale_Dap.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212105" cy="4801013"/>
                    </a:xfrm>
                    <a:prstGeom prst="rect">
                      <a:avLst/>
                    </a:prstGeom>
                    <a:noFill/>
                    <a:ln>
                      <a:noFill/>
                    </a:ln>
                  </pic:spPr>
                </pic:pic>
              </a:graphicData>
            </a:graphic>
          </wp:inline>
        </w:drawing>
      </w:r>
    </w:p>
    <w:p w:rsidR="003C15AA" w:rsidRDefault="00206D79" w:rsidP="00460C2C">
      <w:pPr>
        <w:rPr>
          <w:rFonts w:asciiTheme="majorHAnsi" w:hAnsiTheme="majorHAnsi"/>
        </w:rPr>
      </w:pPr>
      <w:r>
        <w:rPr>
          <w:rFonts w:asciiTheme="majorHAnsi" w:hAnsiTheme="majorHAnsi"/>
        </w:rPr>
        <w:br/>
      </w:r>
      <w:r w:rsidR="00900D44" w:rsidRPr="00834D61">
        <w:rPr>
          <w:rFonts w:asciiTheme="majorHAnsi" w:hAnsiTheme="majorHAnsi"/>
        </w:rPr>
        <w:t>Additional processes can happen outside of the initial ICO workflow. For this purpose, CFX has the ability to manually whitelist and blacklist single or sets of addresses in the CFX token contract</w:t>
      </w:r>
      <w:r w:rsidR="00900D44" w:rsidRPr="00F730AD">
        <w:rPr>
          <w:rFonts w:asciiTheme="majorHAnsi" w:hAnsiTheme="majorHAnsi"/>
          <w:noProof/>
        </w:rPr>
        <w:t>.</w:t>
      </w:r>
      <w:r w:rsidR="00F730AD">
        <w:rPr>
          <w:rFonts w:asciiTheme="majorHAnsi" w:hAnsiTheme="majorHAnsi"/>
          <w:noProof/>
        </w:rPr>
        <w:t xml:space="preserve"> </w:t>
      </w:r>
      <w:r w:rsidR="00900D44" w:rsidRPr="00F730AD">
        <w:rPr>
          <w:rFonts w:asciiTheme="majorHAnsi" w:hAnsiTheme="majorHAnsi"/>
          <w:noProof/>
        </w:rPr>
        <w:t>At</w:t>
      </w:r>
      <w:r w:rsidR="00900D44" w:rsidRPr="00834D61">
        <w:rPr>
          <w:rFonts w:asciiTheme="majorHAnsi" w:hAnsiTheme="majorHAnsi"/>
        </w:rPr>
        <w:t xml:space="preserve"> some </w:t>
      </w:r>
      <w:r w:rsidR="00900D44" w:rsidRPr="00834D61">
        <w:rPr>
          <w:rFonts w:asciiTheme="majorHAnsi" w:hAnsiTheme="majorHAnsi"/>
          <w:noProof/>
        </w:rPr>
        <w:t>point</w:t>
      </w:r>
      <w:r w:rsidR="00C41F27" w:rsidRPr="00834D61">
        <w:rPr>
          <w:rFonts w:asciiTheme="majorHAnsi" w:hAnsiTheme="majorHAnsi"/>
          <w:noProof/>
        </w:rPr>
        <w:t>,</w:t>
      </w:r>
      <w:r w:rsidR="00900D44" w:rsidRPr="00834D61">
        <w:rPr>
          <w:rFonts w:asciiTheme="majorHAnsi" w:hAnsiTheme="majorHAnsi"/>
        </w:rPr>
        <w:t xml:space="preserve"> it might become relevant to turn off the requirement for whitelisted accounts altogether, which is an additional function that the CFX token contract will contain.</w:t>
      </w:r>
      <w:bookmarkStart w:id="24" w:name="_s8o3q7nkqs0i" w:colFirst="0" w:colLast="0"/>
      <w:bookmarkEnd w:id="24"/>
    </w:p>
    <w:p w:rsidR="00682692" w:rsidRPr="003C15AA" w:rsidRDefault="00682692" w:rsidP="00460C2C">
      <w:pPr>
        <w:rPr>
          <w:rFonts w:asciiTheme="majorHAnsi" w:hAnsiTheme="majorHAnsi"/>
        </w:rPr>
      </w:pPr>
    </w:p>
    <w:p w:rsidR="004164F4" w:rsidRDefault="003C15AA" w:rsidP="00206D79">
      <w:pPr>
        <w:ind w:right="4446"/>
        <w:rPr>
          <w:rFonts w:asciiTheme="majorHAnsi" w:hAnsiTheme="majorHAnsi"/>
          <w:b/>
        </w:rPr>
      </w:pPr>
      <w:r w:rsidRPr="003C15AA">
        <w:rPr>
          <w:rFonts w:asciiTheme="majorHAnsi" w:hAnsiTheme="majorHAnsi"/>
          <w:b/>
        </w:rPr>
        <w:lastRenderedPageBreak/>
        <w:t>KYC P</w:t>
      </w:r>
      <w:r w:rsidR="007E2132">
        <w:rPr>
          <w:rFonts w:asciiTheme="majorHAnsi" w:hAnsiTheme="majorHAnsi"/>
          <w:b/>
        </w:rPr>
        <w:t>rocess:</w:t>
      </w:r>
    </w:p>
    <w:p w:rsidR="00900D44" w:rsidRPr="00834D61" w:rsidRDefault="00900D44" w:rsidP="00206D79">
      <w:pPr>
        <w:ind w:right="4446"/>
        <w:rPr>
          <w:rFonts w:asciiTheme="majorHAnsi" w:hAnsiTheme="majorHAnsi"/>
        </w:rPr>
      </w:pPr>
      <w:r w:rsidRPr="00834D61">
        <w:rPr>
          <w:rFonts w:asciiTheme="majorHAnsi" w:hAnsiTheme="majorHAnsi"/>
        </w:rPr>
        <w:t xml:space="preserve">1. </w:t>
      </w:r>
      <w:r w:rsidRPr="00F730AD">
        <w:rPr>
          <w:rFonts w:asciiTheme="majorHAnsi" w:hAnsiTheme="majorHAnsi"/>
          <w:noProof/>
        </w:rPr>
        <w:t>User</w:t>
      </w:r>
      <w:r w:rsidRPr="00834D61">
        <w:rPr>
          <w:rFonts w:asciiTheme="majorHAnsi" w:hAnsiTheme="majorHAnsi"/>
        </w:rPr>
        <w:t xml:space="preserve"> fills in personal details; these details are checked through an AML checklist provided by ComplyAdvantage.</w:t>
      </w:r>
    </w:p>
    <w:p w:rsidR="00594DEB" w:rsidRPr="00F730AD" w:rsidRDefault="00900D44" w:rsidP="00460C2C">
      <w:pPr>
        <w:rPr>
          <w:rFonts w:asciiTheme="majorHAnsi" w:hAnsiTheme="majorHAnsi"/>
        </w:rPr>
      </w:pPr>
      <w:r w:rsidRPr="00834D61">
        <w:rPr>
          <w:rFonts w:asciiTheme="majorHAnsi" w:hAnsiTheme="majorHAnsi"/>
        </w:rPr>
        <w:t>2. User uploads passport; passport details are checked against personal details given in the previous step and the authenticity of the document is verified. This service is provided by OnFido. If it passes all checks, the user is whitelisted and can proceed with the token sale.</w:t>
      </w:r>
    </w:p>
    <w:p w:rsidR="00F156CF" w:rsidRPr="003B268E" w:rsidRDefault="00594DEB" w:rsidP="00460C2C">
      <w:pPr>
        <w:pStyle w:val="Titolo2"/>
        <w:spacing w:before="100" w:after="100"/>
        <w:rPr>
          <w:rFonts w:ascii="Franklin Gothic Demi" w:eastAsia="Times New Roman" w:hAnsi="Franklin Gothic Demi" w:cs="Times New Roman"/>
          <w:b w:val="0"/>
          <w:bCs w:val="0"/>
          <w:iCs w:val="0"/>
          <w:color w:val="018BB3"/>
          <w:spacing w:val="26"/>
          <w:szCs w:val="36"/>
        </w:rPr>
      </w:pPr>
      <w:bookmarkStart w:id="25" w:name="_Toc523439987"/>
      <w:r w:rsidRPr="003C15AA">
        <w:rPr>
          <w:rFonts w:ascii="Franklin Gothic Demi" w:eastAsia="Times New Roman" w:hAnsi="Franklin Gothic Demi" w:cs="Times New Roman"/>
          <w:b w:val="0"/>
          <w:bCs w:val="0"/>
          <w:iCs w:val="0"/>
          <w:color w:val="018BB3"/>
          <w:spacing w:val="26"/>
          <w:szCs w:val="36"/>
        </w:rPr>
        <w:t>Milestones/lifecycle</w:t>
      </w:r>
      <w:bookmarkEnd w:id="25"/>
    </w:p>
    <w:p w:rsidR="00682692" w:rsidRDefault="003B268E" w:rsidP="00460C2C">
      <w:pPr>
        <w:rPr>
          <w:rFonts w:asciiTheme="majorHAnsi" w:hAnsiTheme="majorHAnsi"/>
          <w:b/>
        </w:rPr>
      </w:pPr>
      <w:r>
        <w:rPr>
          <w:rFonts w:asciiTheme="majorHAnsi" w:hAnsiTheme="majorHAnsi"/>
          <w:b/>
          <w:noProof/>
          <w:lang w:val="en-US" w:eastAsia="en-US"/>
        </w:rPr>
        <w:drawing>
          <wp:inline distT="0" distB="0" distL="0" distR="0">
            <wp:extent cx="6126333" cy="3898900"/>
            <wp:effectExtent l="0" t="0" r="825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lestones 72px.jpg"/>
                    <pic:cNvPicPr/>
                  </pic:nvPicPr>
                  <pic:blipFill>
                    <a:blip r:embed="rId19">
                      <a:extLst>
                        <a:ext uri="{28A0092B-C50C-407E-A947-70E740481C1C}">
                          <a14:useLocalDpi xmlns:a14="http://schemas.microsoft.com/office/drawing/2010/main" val="0"/>
                        </a:ext>
                      </a:extLst>
                    </a:blip>
                    <a:stretch>
                      <a:fillRect/>
                    </a:stretch>
                  </pic:blipFill>
                  <pic:spPr>
                    <a:xfrm>
                      <a:off x="0" y="0"/>
                      <a:ext cx="6130384" cy="3901478"/>
                    </a:xfrm>
                    <a:prstGeom prst="rect">
                      <a:avLst/>
                    </a:prstGeom>
                  </pic:spPr>
                </pic:pic>
              </a:graphicData>
            </a:graphic>
          </wp:inline>
        </w:drawing>
      </w:r>
      <w:r>
        <w:rPr>
          <w:rFonts w:asciiTheme="majorHAnsi" w:hAnsiTheme="majorHAnsi"/>
          <w:b/>
        </w:rPr>
        <w:br/>
      </w:r>
    </w:p>
    <w:p w:rsidR="003B268E" w:rsidRPr="001269CC" w:rsidRDefault="003B268E" w:rsidP="00460C2C">
      <w:pPr>
        <w:rPr>
          <w:rFonts w:asciiTheme="majorHAnsi" w:hAnsiTheme="majorHAnsi"/>
          <w:b/>
          <w:color w:val="000000" w:themeColor="text1"/>
          <w:sz w:val="28"/>
        </w:rPr>
      </w:pPr>
      <w:r w:rsidRPr="001269CC">
        <w:rPr>
          <w:rFonts w:asciiTheme="majorHAnsi" w:hAnsiTheme="majorHAnsi"/>
          <w:b/>
          <w:color w:val="000000" w:themeColor="text1"/>
          <w:sz w:val="28"/>
        </w:rPr>
        <w:t>PROJECT FINANCING</w:t>
      </w:r>
      <w:r w:rsidRPr="001269CC">
        <w:rPr>
          <w:rFonts w:asciiTheme="majorHAnsi" w:hAnsiTheme="majorHAnsi"/>
          <w:color w:val="000000" w:themeColor="text1"/>
          <w:sz w:val="28"/>
        </w:rPr>
        <w:t>:</w:t>
      </w:r>
    </w:p>
    <w:p w:rsidR="003B268E" w:rsidRDefault="003B268E" w:rsidP="00460C2C">
      <w:pPr>
        <w:rPr>
          <w:rFonts w:asciiTheme="majorHAnsi" w:hAnsiTheme="majorHAnsi"/>
        </w:rPr>
      </w:pPr>
    </w:p>
    <w:p w:rsidR="00377C56" w:rsidRPr="003B268E" w:rsidRDefault="00377C56" w:rsidP="00460C2C">
      <w:pPr>
        <w:rPr>
          <w:rFonts w:asciiTheme="majorHAnsi" w:hAnsiTheme="majorHAnsi"/>
          <w:b/>
        </w:rPr>
      </w:pPr>
      <w:r w:rsidRPr="00834D61">
        <w:rPr>
          <w:rFonts w:asciiTheme="majorHAnsi" w:hAnsiTheme="majorHAnsi"/>
        </w:rPr>
        <w:t xml:space="preserve">June 2018 presale-ICO starting. Reserved </w:t>
      </w:r>
      <w:r w:rsidR="00C41F27" w:rsidRPr="00834D61">
        <w:rPr>
          <w:rFonts w:asciiTheme="majorHAnsi" w:hAnsiTheme="majorHAnsi"/>
          <w:noProof/>
        </w:rPr>
        <w:t>for</w:t>
      </w:r>
      <w:r w:rsidRPr="00834D61">
        <w:rPr>
          <w:rFonts w:asciiTheme="majorHAnsi" w:hAnsiTheme="majorHAnsi"/>
        </w:rPr>
        <w:t xml:space="preserve"> family, friends, </w:t>
      </w:r>
      <w:r w:rsidRPr="00F730AD">
        <w:rPr>
          <w:rFonts w:asciiTheme="majorHAnsi" w:hAnsiTheme="majorHAnsi"/>
          <w:noProof/>
        </w:rPr>
        <w:t>colle</w:t>
      </w:r>
      <w:r w:rsidR="00C41F27" w:rsidRPr="00F730AD">
        <w:rPr>
          <w:rFonts w:asciiTheme="majorHAnsi" w:hAnsiTheme="majorHAnsi"/>
          <w:noProof/>
        </w:rPr>
        <w:t>a</w:t>
      </w:r>
      <w:r w:rsidRPr="00F730AD">
        <w:rPr>
          <w:rFonts w:asciiTheme="majorHAnsi" w:hAnsiTheme="majorHAnsi"/>
          <w:noProof/>
        </w:rPr>
        <w:t>gues</w:t>
      </w:r>
      <w:r w:rsidR="00514E99">
        <w:rPr>
          <w:rFonts w:asciiTheme="majorHAnsi" w:hAnsiTheme="majorHAnsi"/>
          <w:noProof/>
        </w:rPr>
        <w:t>,</w:t>
      </w:r>
      <w:r w:rsidR="00F730AD">
        <w:rPr>
          <w:rFonts w:asciiTheme="majorHAnsi" w:hAnsiTheme="majorHAnsi"/>
          <w:noProof/>
        </w:rPr>
        <w:t xml:space="preserve"> </w:t>
      </w:r>
      <w:r w:rsidRPr="00514E99">
        <w:rPr>
          <w:rFonts w:asciiTheme="majorHAnsi" w:hAnsiTheme="majorHAnsi"/>
          <w:noProof/>
        </w:rPr>
        <w:t>and</w:t>
      </w:r>
      <w:r w:rsidRPr="00834D61">
        <w:rPr>
          <w:rFonts w:asciiTheme="majorHAnsi" w:hAnsiTheme="majorHAnsi"/>
        </w:rPr>
        <w:t xml:space="preserve"> CFX internal and external staff. It is possible to subscribe a limited amount of CFX Token at the historical lowest value that </w:t>
      </w:r>
      <w:r w:rsidR="00C41F27" w:rsidRPr="00834D61">
        <w:rPr>
          <w:rFonts w:asciiTheme="majorHAnsi" w:hAnsiTheme="majorHAnsi"/>
          <w:noProof/>
        </w:rPr>
        <w:t xml:space="preserve">the </w:t>
      </w:r>
      <w:r w:rsidRPr="00834D61">
        <w:rPr>
          <w:rFonts w:asciiTheme="majorHAnsi" w:hAnsiTheme="majorHAnsi"/>
          <w:noProof/>
        </w:rPr>
        <w:t>company</w:t>
      </w:r>
      <w:r w:rsidRPr="00834D61">
        <w:rPr>
          <w:rFonts w:asciiTheme="majorHAnsi" w:hAnsiTheme="majorHAnsi"/>
        </w:rPr>
        <w:t xml:space="preserve"> will ever propose.</w:t>
      </w:r>
    </w:p>
    <w:p w:rsidR="00D8640C" w:rsidRDefault="00D8640C" w:rsidP="00460C2C">
      <w:pPr>
        <w:rPr>
          <w:rFonts w:asciiTheme="majorHAnsi" w:hAnsiTheme="majorHAnsi"/>
        </w:rPr>
      </w:pPr>
    </w:p>
    <w:p w:rsidR="00377C56" w:rsidRPr="00834D61" w:rsidRDefault="00377C56" w:rsidP="00460C2C">
      <w:pPr>
        <w:rPr>
          <w:rFonts w:asciiTheme="majorHAnsi" w:hAnsiTheme="majorHAnsi"/>
        </w:rPr>
      </w:pPr>
      <w:r w:rsidRPr="00834D61">
        <w:rPr>
          <w:rFonts w:asciiTheme="majorHAnsi" w:hAnsiTheme="majorHAnsi"/>
        </w:rPr>
        <w:lastRenderedPageBreak/>
        <w:t>July/August 2018 presale-ICO second phase. Reserved to first subscribers parents and friends. They will have the possibility to be introduced to company top management</w:t>
      </w:r>
      <w:r>
        <w:rPr>
          <w:rFonts w:ascii="Palatino Linotype" w:hAnsi="Palatino Linotype"/>
        </w:rPr>
        <w:t xml:space="preserve"> </w:t>
      </w:r>
      <w:r w:rsidRPr="00E37AD7">
        <w:rPr>
          <w:rFonts w:asciiTheme="majorHAnsi" w:hAnsiTheme="majorHAnsi"/>
        </w:rPr>
        <w:t>and book CFX</w:t>
      </w:r>
      <w:r>
        <w:rPr>
          <w:rFonts w:ascii="Palatino Linotype" w:hAnsi="Palatino Linotype"/>
        </w:rPr>
        <w:t xml:space="preserve"> </w:t>
      </w:r>
      <w:r w:rsidRPr="00834D61">
        <w:rPr>
          <w:rFonts w:asciiTheme="majorHAnsi" w:hAnsiTheme="majorHAnsi"/>
        </w:rPr>
        <w:t xml:space="preserve">Token with favorable conditions, up to a certain limit of quantity communicated by </w:t>
      </w:r>
      <w:r w:rsidR="00C41F27" w:rsidRPr="00834D61">
        <w:rPr>
          <w:rFonts w:asciiTheme="majorHAnsi" w:hAnsiTheme="majorHAnsi"/>
        </w:rPr>
        <w:t xml:space="preserve">the </w:t>
      </w:r>
      <w:r w:rsidRPr="00834D61">
        <w:rPr>
          <w:rFonts w:asciiTheme="majorHAnsi" w:hAnsiTheme="majorHAnsi"/>
          <w:noProof/>
        </w:rPr>
        <w:t>company’s</w:t>
      </w:r>
      <w:r w:rsidRPr="00834D61">
        <w:rPr>
          <w:rFonts w:asciiTheme="majorHAnsi" w:hAnsiTheme="majorHAnsi"/>
        </w:rPr>
        <w:t xml:space="preserve"> top management.</w:t>
      </w:r>
    </w:p>
    <w:p w:rsidR="00377C56" w:rsidRPr="00834D61" w:rsidRDefault="00377C56" w:rsidP="00460C2C">
      <w:pPr>
        <w:rPr>
          <w:rFonts w:asciiTheme="majorHAnsi" w:hAnsiTheme="majorHAnsi"/>
        </w:rPr>
      </w:pPr>
    </w:p>
    <w:p w:rsidR="00377C56" w:rsidRPr="00834D61" w:rsidRDefault="00377C56" w:rsidP="00460C2C">
      <w:pPr>
        <w:rPr>
          <w:rFonts w:asciiTheme="majorHAnsi" w:hAnsiTheme="majorHAnsi"/>
        </w:rPr>
      </w:pPr>
      <w:r w:rsidRPr="00834D61">
        <w:rPr>
          <w:rFonts w:asciiTheme="majorHAnsi" w:hAnsiTheme="majorHAnsi"/>
        </w:rPr>
        <w:t xml:space="preserve">September/October 2018 Testing. Trading System and </w:t>
      </w:r>
      <w:r w:rsidR="00C41F27" w:rsidRPr="00834D61">
        <w:rPr>
          <w:rFonts w:asciiTheme="majorHAnsi" w:hAnsiTheme="majorHAnsi"/>
        </w:rPr>
        <w:t xml:space="preserve">the </w:t>
      </w:r>
      <w:r w:rsidRPr="00834D61">
        <w:rPr>
          <w:rFonts w:asciiTheme="majorHAnsi" w:hAnsiTheme="majorHAnsi"/>
          <w:noProof/>
        </w:rPr>
        <w:t>initial</w:t>
      </w:r>
      <w:r w:rsidRPr="00834D61">
        <w:rPr>
          <w:rFonts w:asciiTheme="majorHAnsi" w:hAnsiTheme="majorHAnsi"/>
        </w:rPr>
        <w:t xml:space="preserve"> version of </w:t>
      </w:r>
      <w:r w:rsidR="00F730AD">
        <w:rPr>
          <w:rFonts w:asciiTheme="majorHAnsi" w:hAnsiTheme="majorHAnsi"/>
        </w:rPr>
        <w:t xml:space="preserve">the </w:t>
      </w:r>
      <w:r w:rsidRPr="00F730AD">
        <w:rPr>
          <w:rFonts w:asciiTheme="majorHAnsi" w:hAnsiTheme="majorHAnsi"/>
          <w:noProof/>
        </w:rPr>
        <w:t>Sentiment</w:t>
      </w:r>
      <w:r w:rsidRPr="00834D61">
        <w:rPr>
          <w:rFonts w:asciiTheme="majorHAnsi" w:hAnsiTheme="majorHAnsi"/>
        </w:rPr>
        <w:t xml:space="preserve"> Index will be tested w</w:t>
      </w:r>
      <w:r w:rsidR="0085478E" w:rsidRPr="00834D61">
        <w:rPr>
          <w:rFonts w:asciiTheme="majorHAnsi" w:hAnsiTheme="majorHAnsi"/>
        </w:rPr>
        <w:t>ith Company’s financial trading</w:t>
      </w:r>
      <w:r w:rsidRPr="00834D61">
        <w:rPr>
          <w:rFonts w:asciiTheme="majorHAnsi" w:hAnsiTheme="majorHAnsi"/>
        </w:rPr>
        <w:t>.</w:t>
      </w:r>
    </w:p>
    <w:p w:rsidR="00377C56" w:rsidRPr="00834D61" w:rsidRDefault="00377C56" w:rsidP="00460C2C">
      <w:pPr>
        <w:rPr>
          <w:rFonts w:asciiTheme="majorHAnsi" w:hAnsiTheme="majorHAnsi"/>
        </w:rPr>
      </w:pPr>
    </w:p>
    <w:p w:rsidR="00377C56" w:rsidRPr="00834D61" w:rsidRDefault="00377C56" w:rsidP="00460C2C">
      <w:pPr>
        <w:rPr>
          <w:rFonts w:asciiTheme="majorHAnsi" w:hAnsiTheme="majorHAnsi"/>
        </w:rPr>
      </w:pPr>
      <w:r w:rsidRPr="00834D61">
        <w:rPr>
          <w:rFonts w:asciiTheme="majorHAnsi" w:hAnsiTheme="majorHAnsi"/>
        </w:rPr>
        <w:t xml:space="preserve">September/October 2018 dApp Sentiment Index Launch. </w:t>
      </w:r>
      <w:r w:rsidR="0085478E" w:rsidRPr="005C456C">
        <w:rPr>
          <w:rFonts w:asciiTheme="majorHAnsi" w:hAnsiTheme="majorHAnsi"/>
          <w:noProof/>
        </w:rPr>
        <w:t>O</w:t>
      </w:r>
      <w:r w:rsidRPr="005C456C">
        <w:rPr>
          <w:rFonts w:asciiTheme="majorHAnsi" w:hAnsiTheme="majorHAnsi"/>
          <w:noProof/>
        </w:rPr>
        <w:t>fficial</w:t>
      </w:r>
      <w:r w:rsidR="005C456C" w:rsidRPr="005C456C">
        <w:rPr>
          <w:rFonts w:asciiTheme="majorHAnsi" w:hAnsiTheme="majorHAnsi"/>
          <w:noProof/>
        </w:rPr>
        <w:t xml:space="preserve"> </w:t>
      </w:r>
      <w:r w:rsidRPr="005C456C">
        <w:rPr>
          <w:rFonts w:asciiTheme="majorHAnsi" w:hAnsiTheme="majorHAnsi"/>
          <w:noProof/>
        </w:rPr>
        <w:t>Launch</w:t>
      </w:r>
      <w:r w:rsidR="0085478E" w:rsidRPr="00834D61">
        <w:rPr>
          <w:rFonts w:asciiTheme="majorHAnsi" w:hAnsiTheme="majorHAnsi"/>
        </w:rPr>
        <w:t xml:space="preserve"> of </w:t>
      </w:r>
      <w:r w:rsidRPr="00834D61">
        <w:rPr>
          <w:rFonts w:asciiTheme="majorHAnsi" w:hAnsiTheme="majorHAnsi"/>
        </w:rPr>
        <w:t xml:space="preserve">the dApp with which every CFX Tokenownerwill be able to </w:t>
      </w:r>
      <w:r w:rsidR="0085478E" w:rsidRPr="00834D61">
        <w:rPr>
          <w:rFonts w:asciiTheme="majorHAnsi" w:hAnsiTheme="majorHAnsi"/>
        </w:rPr>
        <w:t xml:space="preserve">test </w:t>
      </w:r>
      <w:r w:rsidRPr="00834D61">
        <w:rPr>
          <w:rFonts w:asciiTheme="majorHAnsi" w:hAnsiTheme="majorHAnsi"/>
        </w:rPr>
        <w:t>on their phone.</w:t>
      </w:r>
    </w:p>
    <w:p w:rsidR="00377C56" w:rsidRPr="00834D61" w:rsidRDefault="00377C56" w:rsidP="00460C2C">
      <w:pPr>
        <w:rPr>
          <w:rFonts w:asciiTheme="majorHAnsi" w:hAnsiTheme="majorHAnsi"/>
        </w:rPr>
      </w:pPr>
    </w:p>
    <w:p w:rsidR="00377C56" w:rsidRPr="00834D61" w:rsidRDefault="00377C56" w:rsidP="00460C2C">
      <w:pPr>
        <w:rPr>
          <w:rFonts w:asciiTheme="majorHAnsi" w:hAnsiTheme="majorHAnsi"/>
        </w:rPr>
      </w:pPr>
      <w:r w:rsidRPr="00834D61">
        <w:rPr>
          <w:rFonts w:asciiTheme="majorHAnsi" w:hAnsiTheme="majorHAnsi"/>
        </w:rPr>
        <w:t xml:space="preserve">September/October 2018 Presale ICO third phase. </w:t>
      </w:r>
      <w:r w:rsidR="00C41F27" w:rsidRPr="00834D61">
        <w:rPr>
          <w:rFonts w:asciiTheme="majorHAnsi" w:hAnsiTheme="majorHAnsi"/>
          <w:noProof/>
        </w:rPr>
        <w:t xml:space="preserve">The </w:t>
      </w:r>
      <w:r w:rsidR="00C41F27" w:rsidRPr="005C456C">
        <w:rPr>
          <w:rFonts w:asciiTheme="majorHAnsi" w:hAnsiTheme="majorHAnsi"/>
          <w:noProof/>
        </w:rPr>
        <w:t>l</w:t>
      </w:r>
      <w:r w:rsidRPr="005C456C">
        <w:rPr>
          <w:rFonts w:asciiTheme="majorHAnsi" w:hAnsiTheme="majorHAnsi"/>
          <w:noProof/>
        </w:rPr>
        <w:t>ast</w:t>
      </w:r>
      <w:r w:rsidR="005C456C">
        <w:rPr>
          <w:rFonts w:asciiTheme="majorHAnsi" w:hAnsiTheme="majorHAnsi"/>
          <w:noProof/>
        </w:rPr>
        <w:t xml:space="preserve"> </w:t>
      </w:r>
      <w:r w:rsidRPr="005C456C">
        <w:rPr>
          <w:rFonts w:asciiTheme="majorHAnsi" w:hAnsiTheme="majorHAnsi"/>
          <w:noProof/>
        </w:rPr>
        <w:t>poss</w:t>
      </w:r>
      <w:r w:rsidR="0085478E" w:rsidRPr="005C456C">
        <w:rPr>
          <w:rFonts w:asciiTheme="majorHAnsi" w:hAnsiTheme="majorHAnsi"/>
          <w:noProof/>
        </w:rPr>
        <w:t>ibil</w:t>
      </w:r>
      <w:r w:rsidR="00C41F27" w:rsidRPr="005C456C">
        <w:rPr>
          <w:rFonts w:asciiTheme="majorHAnsi" w:hAnsiTheme="majorHAnsi"/>
          <w:noProof/>
        </w:rPr>
        <w:t>i</w:t>
      </w:r>
      <w:r w:rsidR="0085478E" w:rsidRPr="005C456C">
        <w:rPr>
          <w:rFonts w:asciiTheme="majorHAnsi" w:hAnsiTheme="majorHAnsi"/>
          <w:noProof/>
        </w:rPr>
        <w:t>ty</w:t>
      </w:r>
      <w:r w:rsidR="0085478E" w:rsidRPr="00834D61">
        <w:rPr>
          <w:rFonts w:asciiTheme="majorHAnsi" w:hAnsiTheme="majorHAnsi"/>
        </w:rPr>
        <w:t xml:space="preserve"> to subscribe CFX Token with most</w:t>
      </w:r>
      <w:r w:rsidRPr="00834D61">
        <w:rPr>
          <w:rFonts w:asciiTheme="majorHAnsi" w:hAnsiTheme="majorHAnsi"/>
        </w:rPr>
        <w:t xml:space="preserve"> favorable </w:t>
      </w:r>
      <w:r w:rsidRPr="00834D61">
        <w:rPr>
          <w:rFonts w:asciiTheme="majorHAnsi" w:hAnsiTheme="majorHAnsi"/>
          <w:noProof/>
        </w:rPr>
        <w:t>conditions</w:t>
      </w:r>
      <w:r w:rsidRPr="00834D61">
        <w:rPr>
          <w:rFonts w:asciiTheme="majorHAnsi" w:hAnsiTheme="majorHAnsi"/>
        </w:rPr>
        <w:t xml:space="preserve"> if there will remain after </w:t>
      </w:r>
      <w:r w:rsidR="00C41F27" w:rsidRPr="00834D61">
        <w:rPr>
          <w:rFonts w:asciiTheme="majorHAnsi" w:hAnsiTheme="majorHAnsi"/>
        </w:rPr>
        <w:t xml:space="preserve">the </w:t>
      </w:r>
      <w:r w:rsidRPr="00834D61">
        <w:rPr>
          <w:rFonts w:asciiTheme="majorHAnsi" w:hAnsiTheme="majorHAnsi"/>
          <w:noProof/>
        </w:rPr>
        <w:t>first</w:t>
      </w:r>
      <w:r w:rsidRPr="00834D61">
        <w:rPr>
          <w:rFonts w:asciiTheme="majorHAnsi" w:hAnsiTheme="majorHAnsi"/>
        </w:rPr>
        <w:t xml:space="preserve"> and second phase.</w:t>
      </w:r>
    </w:p>
    <w:p w:rsidR="00377C56" w:rsidRPr="00834D61" w:rsidRDefault="00377C56" w:rsidP="00460C2C">
      <w:pPr>
        <w:rPr>
          <w:rFonts w:asciiTheme="majorHAnsi" w:hAnsiTheme="majorHAnsi"/>
        </w:rPr>
      </w:pPr>
    </w:p>
    <w:p w:rsidR="00377C56" w:rsidRDefault="0085478E" w:rsidP="00460C2C">
      <w:pPr>
        <w:rPr>
          <w:rFonts w:asciiTheme="majorHAnsi" w:hAnsiTheme="majorHAnsi"/>
        </w:rPr>
      </w:pPr>
      <w:r w:rsidRPr="00834D61">
        <w:rPr>
          <w:rFonts w:asciiTheme="majorHAnsi" w:hAnsiTheme="majorHAnsi"/>
        </w:rPr>
        <w:t xml:space="preserve">Sometime between </w:t>
      </w:r>
      <w:r w:rsidR="00377C56" w:rsidRPr="00834D61">
        <w:rPr>
          <w:rFonts w:asciiTheme="majorHAnsi" w:hAnsiTheme="majorHAnsi"/>
        </w:rPr>
        <w:t>Dec 2018</w:t>
      </w:r>
      <w:r w:rsidRPr="00834D61">
        <w:rPr>
          <w:rFonts w:asciiTheme="majorHAnsi" w:hAnsiTheme="majorHAnsi"/>
        </w:rPr>
        <w:t xml:space="preserve"> and</w:t>
      </w:r>
      <w:r w:rsidR="00377C56" w:rsidRPr="00834D61">
        <w:rPr>
          <w:rFonts w:asciiTheme="majorHAnsi" w:hAnsiTheme="majorHAnsi"/>
        </w:rPr>
        <w:t xml:space="preserve"> March 2019 ICO. </w:t>
      </w:r>
      <w:r w:rsidRPr="00834D61">
        <w:rPr>
          <w:rFonts w:asciiTheme="majorHAnsi" w:hAnsiTheme="majorHAnsi"/>
        </w:rPr>
        <w:t>P</w:t>
      </w:r>
      <w:r w:rsidR="00377C56" w:rsidRPr="00834D61">
        <w:rPr>
          <w:rFonts w:asciiTheme="majorHAnsi" w:hAnsiTheme="majorHAnsi"/>
        </w:rPr>
        <w:t xml:space="preserve">lanned for the end of </w:t>
      </w:r>
      <w:r w:rsidR="00C41F27" w:rsidRPr="00834D61">
        <w:rPr>
          <w:rFonts w:asciiTheme="majorHAnsi" w:hAnsiTheme="majorHAnsi"/>
        </w:rPr>
        <w:t xml:space="preserve">the </w:t>
      </w:r>
      <w:r w:rsidR="00377C56" w:rsidRPr="00834D61">
        <w:rPr>
          <w:rFonts w:asciiTheme="majorHAnsi" w:hAnsiTheme="majorHAnsi"/>
          <w:noProof/>
        </w:rPr>
        <w:t>present</w:t>
      </w:r>
      <w:r w:rsidR="00377C56" w:rsidRPr="00834D61">
        <w:rPr>
          <w:rFonts w:asciiTheme="majorHAnsi" w:hAnsiTheme="majorHAnsi"/>
        </w:rPr>
        <w:t xml:space="preserve"> year, </w:t>
      </w:r>
      <w:r w:rsidR="00377C56" w:rsidRPr="005C456C">
        <w:rPr>
          <w:rFonts w:asciiTheme="majorHAnsi" w:hAnsiTheme="majorHAnsi"/>
          <w:noProof/>
        </w:rPr>
        <w:t>according</w:t>
      </w:r>
      <w:r w:rsidR="00377C56" w:rsidRPr="00834D61">
        <w:rPr>
          <w:rFonts w:asciiTheme="majorHAnsi" w:hAnsiTheme="majorHAnsi"/>
        </w:rPr>
        <w:t xml:space="preserve"> with Advisor and Legal team. Only in clearly adverse market </w:t>
      </w:r>
      <w:r w:rsidR="00377C56" w:rsidRPr="005C456C">
        <w:rPr>
          <w:rFonts w:asciiTheme="majorHAnsi" w:hAnsiTheme="majorHAnsi"/>
          <w:noProof/>
        </w:rPr>
        <w:t>conditions</w:t>
      </w:r>
      <w:r w:rsidR="005C456C">
        <w:rPr>
          <w:rFonts w:asciiTheme="majorHAnsi" w:hAnsiTheme="majorHAnsi"/>
          <w:noProof/>
        </w:rPr>
        <w:t xml:space="preserve"> </w:t>
      </w:r>
      <w:r w:rsidR="00377C56" w:rsidRPr="005C456C">
        <w:rPr>
          <w:rFonts w:asciiTheme="majorHAnsi" w:hAnsiTheme="majorHAnsi"/>
          <w:noProof/>
        </w:rPr>
        <w:t>may</w:t>
      </w:r>
      <w:r w:rsidR="00377C56" w:rsidRPr="00834D61">
        <w:rPr>
          <w:rFonts w:asciiTheme="majorHAnsi" w:hAnsiTheme="majorHAnsi"/>
        </w:rPr>
        <w:t xml:space="preserve"> be postponed to </w:t>
      </w:r>
      <w:r w:rsidR="00C41F27" w:rsidRPr="00834D61">
        <w:rPr>
          <w:rFonts w:asciiTheme="majorHAnsi" w:hAnsiTheme="majorHAnsi"/>
        </w:rPr>
        <w:t xml:space="preserve">the </w:t>
      </w:r>
      <w:r w:rsidR="00377C56" w:rsidRPr="00834D61">
        <w:rPr>
          <w:rFonts w:asciiTheme="majorHAnsi" w:hAnsiTheme="majorHAnsi"/>
          <w:noProof/>
        </w:rPr>
        <w:t>new</w:t>
      </w:r>
      <w:r w:rsidR="00377C56" w:rsidRPr="00834D61">
        <w:rPr>
          <w:rFonts w:asciiTheme="majorHAnsi" w:hAnsiTheme="majorHAnsi"/>
        </w:rPr>
        <w:t xml:space="preserve"> year, but not further than 2019 </w:t>
      </w:r>
      <w:r w:rsidR="00377C56" w:rsidRPr="00834D61">
        <w:rPr>
          <w:rFonts w:asciiTheme="majorHAnsi" w:hAnsiTheme="majorHAnsi"/>
          <w:noProof/>
        </w:rPr>
        <w:t xml:space="preserve">Spring </w:t>
      </w:r>
      <w:r w:rsidR="00377C56" w:rsidRPr="00834D61">
        <w:rPr>
          <w:rFonts w:asciiTheme="majorHAnsi" w:hAnsiTheme="majorHAnsi"/>
        </w:rPr>
        <w:t>in any case.</w:t>
      </w:r>
    </w:p>
    <w:p w:rsidR="003B268E" w:rsidRDefault="003B268E" w:rsidP="00460C2C">
      <w:pPr>
        <w:rPr>
          <w:rFonts w:asciiTheme="majorHAnsi" w:hAnsiTheme="majorHAnsi"/>
        </w:rPr>
      </w:pPr>
    </w:p>
    <w:p w:rsidR="003B268E" w:rsidRDefault="003B268E" w:rsidP="00460C2C">
      <w:pPr>
        <w:rPr>
          <w:rFonts w:asciiTheme="majorHAnsi" w:hAnsiTheme="majorHAnsi"/>
        </w:rPr>
      </w:pPr>
      <w:r w:rsidRPr="00C006C4">
        <w:rPr>
          <w:rFonts w:asciiTheme="majorHAnsi" w:hAnsiTheme="majorHAnsi"/>
        </w:rPr>
        <w:t>The intention is to conduct an Initial Coin Offering (“ICO”). The ICO will be in compliance with EU prospectus legislation and subject to regulatory approval will be open for 90 days (or less) starting 1 st of January 2019 at 13:00:00 CET.</w:t>
      </w:r>
    </w:p>
    <w:p w:rsidR="003B268E" w:rsidRPr="00C006C4" w:rsidRDefault="003B268E" w:rsidP="00460C2C">
      <w:pPr>
        <w:rPr>
          <w:rFonts w:asciiTheme="majorHAnsi" w:hAnsiTheme="majorHAnsi"/>
        </w:rPr>
      </w:pPr>
    </w:p>
    <w:p w:rsidR="003B268E" w:rsidRDefault="003B268E" w:rsidP="00460C2C">
      <w:pPr>
        <w:rPr>
          <w:rFonts w:asciiTheme="majorHAnsi" w:hAnsiTheme="majorHAnsi"/>
        </w:rPr>
      </w:pPr>
      <w:r w:rsidRPr="00C006C4">
        <w:rPr>
          <w:rFonts w:asciiTheme="majorHAnsi" w:hAnsiTheme="majorHAnsi"/>
        </w:rPr>
        <w:t xml:space="preserve">All updated information regarding our ICO can be found  </w:t>
      </w:r>
      <w:hyperlink r:id="rId20" w:history="1">
        <w:r w:rsidRPr="00C154E2">
          <w:rPr>
            <w:rStyle w:val="Collegamentoipertestuale"/>
            <w:rFonts w:asciiTheme="majorHAnsi" w:hAnsiTheme="majorHAnsi"/>
          </w:rPr>
          <w:t>https://cfx.com</w:t>
        </w:r>
      </w:hyperlink>
    </w:p>
    <w:p w:rsidR="003B268E" w:rsidRPr="00834D61" w:rsidRDefault="003B268E" w:rsidP="00460C2C">
      <w:pPr>
        <w:rPr>
          <w:rFonts w:asciiTheme="majorHAnsi" w:hAnsiTheme="majorHAnsi"/>
        </w:rPr>
      </w:pPr>
    </w:p>
    <w:p w:rsidR="00377C56" w:rsidRPr="00834D61" w:rsidRDefault="0085478E" w:rsidP="00460C2C">
      <w:pPr>
        <w:rPr>
          <w:rFonts w:asciiTheme="majorHAnsi" w:hAnsiTheme="majorHAnsi"/>
        </w:rPr>
      </w:pPr>
      <w:r w:rsidRPr="00834D61">
        <w:rPr>
          <w:rFonts w:asciiTheme="majorHAnsi" w:hAnsiTheme="majorHAnsi"/>
        </w:rPr>
        <w:t>3</w:t>
      </w:r>
      <w:r w:rsidR="00377C56" w:rsidRPr="00834D61">
        <w:rPr>
          <w:rFonts w:asciiTheme="majorHAnsi" w:hAnsiTheme="majorHAnsi"/>
        </w:rPr>
        <w:t xml:space="preserve"> days from ICO end CFX Tokens assignment. </w:t>
      </w:r>
      <w:r w:rsidRPr="00834D61">
        <w:rPr>
          <w:rFonts w:asciiTheme="majorHAnsi" w:hAnsiTheme="majorHAnsi"/>
        </w:rPr>
        <w:t>We will make our best effort to send out all Tokens within 3</w:t>
      </w:r>
      <w:r w:rsidR="00377C56" w:rsidRPr="00834D61">
        <w:rPr>
          <w:rFonts w:asciiTheme="majorHAnsi" w:hAnsiTheme="majorHAnsi"/>
        </w:rPr>
        <w:t xml:space="preserve"> days from ICO end</w:t>
      </w:r>
      <w:r w:rsidRPr="00834D61">
        <w:rPr>
          <w:rFonts w:asciiTheme="majorHAnsi" w:hAnsiTheme="majorHAnsi"/>
        </w:rPr>
        <w:t>. A</w:t>
      </w:r>
      <w:r w:rsidR="00377C56" w:rsidRPr="00834D61">
        <w:rPr>
          <w:rFonts w:asciiTheme="majorHAnsi" w:hAnsiTheme="majorHAnsi"/>
        </w:rPr>
        <w:t>ll Tokens subscribed and paid in ICO and presale ICO periods will be assigned on their owner</w:t>
      </w:r>
      <w:r w:rsidRPr="00834D61">
        <w:rPr>
          <w:rFonts w:asciiTheme="majorHAnsi" w:hAnsiTheme="majorHAnsi"/>
        </w:rPr>
        <w:t>’</w:t>
      </w:r>
      <w:r w:rsidR="00377C56" w:rsidRPr="00834D61">
        <w:rPr>
          <w:rFonts w:asciiTheme="majorHAnsi" w:hAnsiTheme="majorHAnsi"/>
        </w:rPr>
        <w:t>s wallet, according to KYC requirements.</w:t>
      </w:r>
    </w:p>
    <w:p w:rsidR="00377C56" w:rsidRPr="00834D61" w:rsidRDefault="00377C56" w:rsidP="00460C2C">
      <w:pPr>
        <w:rPr>
          <w:rFonts w:asciiTheme="majorHAnsi" w:hAnsiTheme="majorHAnsi"/>
        </w:rPr>
      </w:pPr>
    </w:p>
    <w:p w:rsidR="00377C56" w:rsidRPr="00682692" w:rsidRDefault="00377C56" w:rsidP="00460C2C">
      <w:pPr>
        <w:rPr>
          <w:rFonts w:asciiTheme="majorHAnsi" w:hAnsiTheme="majorHAnsi"/>
        </w:rPr>
      </w:pPr>
      <w:r w:rsidRPr="00834D61">
        <w:rPr>
          <w:rFonts w:asciiTheme="majorHAnsi" w:hAnsiTheme="majorHAnsi"/>
        </w:rPr>
        <w:t xml:space="preserve">CFX Tokens will be negotiable at a public exchange at </w:t>
      </w:r>
      <w:r w:rsidRPr="005C456C">
        <w:rPr>
          <w:rFonts w:asciiTheme="majorHAnsi" w:hAnsiTheme="majorHAnsi"/>
          <w:noProof/>
        </w:rPr>
        <w:t>market</w:t>
      </w:r>
      <w:r w:rsidRPr="00834D61">
        <w:rPr>
          <w:rFonts w:asciiTheme="majorHAnsi" w:hAnsiTheme="majorHAnsi"/>
        </w:rPr>
        <w:t xml:space="preserve"> price within 60 days from ICO end. All subscribers in ICO and presale ICO phase will have protection through a lockup period that will</w:t>
      </w:r>
      <w:r w:rsidR="0085478E" w:rsidRPr="00834D61">
        <w:rPr>
          <w:rFonts w:asciiTheme="majorHAnsi" w:hAnsiTheme="majorHAnsi"/>
        </w:rPr>
        <w:t xml:space="preserve"> be fully described on our website</w:t>
      </w:r>
      <w:r w:rsidRPr="00834D61">
        <w:rPr>
          <w:rFonts w:asciiTheme="majorHAnsi" w:hAnsiTheme="majorHAnsi"/>
        </w:rPr>
        <w:t xml:space="preserve"> with Legal and Advisor approval by end of August. This will guarantee that price will not be manipulated – as it has </w:t>
      </w:r>
      <w:r w:rsidRPr="00834D61">
        <w:rPr>
          <w:rFonts w:asciiTheme="majorHAnsi" w:hAnsiTheme="majorHAnsi"/>
          <w:noProof/>
        </w:rPr>
        <w:t>occurred</w:t>
      </w:r>
      <w:r w:rsidRPr="00834D61">
        <w:rPr>
          <w:rFonts w:asciiTheme="majorHAnsi" w:hAnsiTheme="majorHAnsi"/>
        </w:rPr>
        <w:t xml:space="preserve"> in different </w:t>
      </w:r>
      <w:r w:rsidR="0085478E" w:rsidRPr="00834D61">
        <w:rPr>
          <w:rFonts w:asciiTheme="majorHAnsi" w:hAnsiTheme="majorHAnsi"/>
        </w:rPr>
        <w:t>ICO cases</w:t>
      </w:r>
      <w:r w:rsidRPr="00834D61">
        <w:rPr>
          <w:rFonts w:asciiTheme="majorHAnsi" w:hAnsiTheme="majorHAnsi"/>
        </w:rPr>
        <w:t xml:space="preserve"> – with dumping actions by first subscribers.</w:t>
      </w:r>
    </w:p>
    <w:p w:rsidR="00377C56" w:rsidRPr="00682692" w:rsidRDefault="00377C56" w:rsidP="00460C2C">
      <w:pPr>
        <w:rPr>
          <w:rFonts w:asciiTheme="majorHAnsi" w:hAnsiTheme="majorHAnsi"/>
        </w:rPr>
      </w:pPr>
    </w:p>
    <w:p w:rsidR="00377C56" w:rsidRPr="00682692" w:rsidRDefault="00377C56" w:rsidP="00460C2C">
      <w:pPr>
        <w:rPr>
          <w:rFonts w:asciiTheme="majorHAnsi" w:hAnsiTheme="majorHAnsi"/>
          <w:b/>
          <w:sz w:val="28"/>
        </w:rPr>
      </w:pPr>
      <w:r w:rsidRPr="00682692">
        <w:rPr>
          <w:rFonts w:asciiTheme="majorHAnsi" w:hAnsiTheme="majorHAnsi"/>
          <w:b/>
          <w:sz w:val="28"/>
        </w:rPr>
        <w:t>PRIVILEGED CONDITIONS IN PRESALE-ICO PHASE</w:t>
      </w:r>
    </w:p>
    <w:p w:rsidR="00377C56" w:rsidRPr="00682692" w:rsidRDefault="00377C56" w:rsidP="00460C2C">
      <w:pPr>
        <w:rPr>
          <w:rFonts w:asciiTheme="majorHAnsi" w:hAnsiTheme="majorHAnsi"/>
        </w:rPr>
      </w:pPr>
    </w:p>
    <w:p w:rsidR="00377C56" w:rsidRPr="00682692" w:rsidRDefault="0085478E" w:rsidP="00460C2C">
      <w:pPr>
        <w:rPr>
          <w:rFonts w:asciiTheme="majorHAnsi" w:hAnsiTheme="majorHAnsi"/>
        </w:rPr>
      </w:pPr>
      <w:r w:rsidRPr="00682692">
        <w:rPr>
          <w:rFonts w:asciiTheme="majorHAnsi" w:hAnsiTheme="majorHAnsi"/>
        </w:rPr>
        <w:t xml:space="preserve">STO is open to all investors who satisfy the issuer’s </w:t>
      </w:r>
      <w:r w:rsidR="0009497E" w:rsidRPr="00682692">
        <w:rPr>
          <w:rFonts w:asciiTheme="majorHAnsi" w:hAnsiTheme="majorHAnsi"/>
        </w:rPr>
        <w:t xml:space="preserve">strict </w:t>
      </w:r>
      <w:r w:rsidRPr="00682692">
        <w:rPr>
          <w:rFonts w:asciiTheme="majorHAnsi" w:hAnsiTheme="majorHAnsi"/>
        </w:rPr>
        <w:t>criteria for investments sophistication, portfolio diversification, risk profile and tolerance, background and suitability check. It is also open to a</w:t>
      </w:r>
      <w:r w:rsidR="00377C56" w:rsidRPr="00682692">
        <w:rPr>
          <w:rFonts w:asciiTheme="majorHAnsi" w:hAnsiTheme="majorHAnsi"/>
        </w:rPr>
        <w:t xml:space="preserve">ll </w:t>
      </w:r>
      <w:r w:rsidRPr="00682692">
        <w:rPr>
          <w:rFonts w:asciiTheme="majorHAnsi" w:hAnsiTheme="majorHAnsi"/>
        </w:rPr>
        <w:t>k</w:t>
      </w:r>
      <w:r w:rsidR="00377C56" w:rsidRPr="00682692">
        <w:rPr>
          <w:rFonts w:asciiTheme="majorHAnsi" w:hAnsiTheme="majorHAnsi"/>
        </w:rPr>
        <w:t xml:space="preserve">nown people, friends and parents of </w:t>
      </w:r>
      <w:r w:rsidR="00C41F27" w:rsidRPr="00682692">
        <w:rPr>
          <w:rFonts w:asciiTheme="majorHAnsi" w:hAnsiTheme="majorHAnsi"/>
        </w:rPr>
        <w:t xml:space="preserve">the </w:t>
      </w:r>
      <w:r w:rsidR="00377C56" w:rsidRPr="00682692">
        <w:rPr>
          <w:rFonts w:asciiTheme="majorHAnsi" w:hAnsiTheme="majorHAnsi"/>
          <w:noProof/>
        </w:rPr>
        <w:t>Company’s</w:t>
      </w:r>
      <w:r w:rsidR="00377C56" w:rsidRPr="00682692">
        <w:rPr>
          <w:rFonts w:asciiTheme="majorHAnsi" w:hAnsiTheme="majorHAnsi"/>
        </w:rPr>
        <w:t xml:space="preserve"> staff</w:t>
      </w:r>
      <w:r w:rsidRPr="00682692">
        <w:rPr>
          <w:rFonts w:asciiTheme="majorHAnsi" w:hAnsiTheme="majorHAnsi"/>
        </w:rPr>
        <w:t>. All early investors may enjoy the possibil</w:t>
      </w:r>
      <w:r w:rsidR="0009497E" w:rsidRPr="00682692">
        <w:rPr>
          <w:rFonts w:asciiTheme="majorHAnsi" w:hAnsiTheme="majorHAnsi"/>
        </w:rPr>
        <w:t>i</w:t>
      </w:r>
      <w:r w:rsidR="00377C56" w:rsidRPr="00682692">
        <w:rPr>
          <w:rFonts w:asciiTheme="majorHAnsi" w:hAnsiTheme="majorHAnsi"/>
        </w:rPr>
        <w:t>t</w:t>
      </w:r>
      <w:r w:rsidRPr="00682692">
        <w:rPr>
          <w:rFonts w:asciiTheme="majorHAnsi" w:hAnsiTheme="majorHAnsi"/>
        </w:rPr>
        <w:t xml:space="preserve">y of </w:t>
      </w:r>
      <w:r w:rsidR="00377C56" w:rsidRPr="00682692">
        <w:rPr>
          <w:rFonts w:asciiTheme="majorHAnsi" w:hAnsiTheme="majorHAnsi"/>
        </w:rPr>
        <w:t xml:space="preserve">privileged conditions offered by the company before ICO takes place. All conditions are </w:t>
      </w:r>
      <w:r w:rsidR="00377C56" w:rsidRPr="00682692">
        <w:rPr>
          <w:rFonts w:asciiTheme="majorHAnsi" w:hAnsiTheme="majorHAnsi"/>
        </w:rPr>
        <w:lastRenderedPageBreak/>
        <w:t>for limited quantities of Tokens, dependent in any moment from the total demand coming from the above mentioned restricted target</w:t>
      </w:r>
      <w:r w:rsidRPr="00682692">
        <w:rPr>
          <w:rFonts w:asciiTheme="majorHAnsi" w:hAnsiTheme="majorHAnsi"/>
        </w:rPr>
        <w:t>.</w:t>
      </w:r>
    </w:p>
    <w:p w:rsidR="0009497E" w:rsidRPr="00682692" w:rsidRDefault="0009497E" w:rsidP="00460C2C">
      <w:pPr>
        <w:rPr>
          <w:rFonts w:asciiTheme="majorHAnsi" w:hAnsiTheme="majorHAnsi"/>
        </w:rPr>
      </w:pPr>
    </w:p>
    <w:p w:rsidR="00682692" w:rsidRDefault="00377C56" w:rsidP="00682692">
      <w:pPr>
        <w:rPr>
          <w:rFonts w:asciiTheme="majorHAnsi" w:hAnsiTheme="majorHAnsi"/>
        </w:rPr>
      </w:pPr>
      <w:r w:rsidRPr="00682692">
        <w:rPr>
          <w:rFonts w:asciiTheme="majorHAnsi" w:hAnsiTheme="majorHAnsi"/>
          <w:noProof/>
        </w:rPr>
        <w:t>Privileged</w:t>
      </w:r>
      <w:r w:rsidRPr="00682692">
        <w:rPr>
          <w:rFonts w:asciiTheme="majorHAnsi" w:hAnsiTheme="majorHAnsi"/>
        </w:rPr>
        <w:t xml:space="preserve"> condition </w:t>
      </w:r>
      <w:r w:rsidRPr="00682692">
        <w:rPr>
          <w:rFonts w:asciiTheme="majorHAnsi" w:hAnsiTheme="majorHAnsi"/>
          <w:noProof/>
        </w:rPr>
        <w:t>start</w:t>
      </w:r>
      <w:r w:rsidR="00C41F27" w:rsidRPr="00682692">
        <w:rPr>
          <w:rFonts w:asciiTheme="majorHAnsi" w:hAnsiTheme="majorHAnsi"/>
          <w:noProof/>
        </w:rPr>
        <w:t>s</w:t>
      </w:r>
      <w:r w:rsidRPr="00682692">
        <w:rPr>
          <w:rFonts w:asciiTheme="majorHAnsi" w:hAnsiTheme="majorHAnsi"/>
        </w:rPr>
        <w:t xml:space="preserve"> with a 50% discount in respect to ICO value. The discount gets lower in direct proportion to the time left to approach ICO.</w:t>
      </w:r>
      <w:r w:rsidR="00834D61" w:rsidRPr="00682692">
        <w:rPr>
          <w:rFonts w:asciiTheme="majorHAnsi" w:hAnsiTheme="majorHAnsi"/>
        </w:rPr>
        <w:t xml:space="preserve"> </w:t>
      </w:r>
      <w:r w:rsidR="0085478E" w:rsidRPr="00682692">
        <w:rPr>
          <w:rFonts w:asciiTheme="majorHAnsi" w:hAnsiTheme="majorHAnsi"/>
        </w:rPr>
        <w:t>Those persons</w:t>
      </w:r>
      <w:r w:rsidRPr="00682692">
        <w:rPr>
          <w:rFonts w:asciiTheme="majorHAnsi" w:hAnsiTheme="majorHAnsi"/>
        </w:rPr>
        <w:t xml:space="preserve"> interested in more detail</w:t>
      </w:r>
      <w:r w:rsidR="0085478E" w:rsidRPr="00682692">
        <w:rPr>
          <w:rFonts w:asciiTheme="majorHAnsi" w:hAnsiTheme="majorHAnsi"/>
        </w:rPr>
        <w:t xml:space="preserve">, </w:t>
      </w:r>
      <w:r w:rsidRPr="00682692">
        <w:rPr>
          <w:rFonts w:asciiTheme="majorHAnsi" w:hAnsiTheme="majorHAnsi"/>
        </w:rPr>
        <w:t>please</w:t>
      </w:r>
      <w:r w:rsidR="0085478E" w:rsidRPr="00682692">
        <w:rPr>
          <w:rFonts w:asciiTheme="majorHAnsi" w:hAnsiTheme="majorHAnsi"/>
        </w:rPr>
        <w:t xml:space="preserve"> contact </w:t>
      </w:r>
      <w:hyperlink r:id="rId21" w:history="1">
        <w:r w:rsidR="00682692" w:rsidRPr="00805F2C">
          <w:rPr>
            <w:rStyle w:val="Collegamentoipertestuale"/>
            <w:rFonts w:asciiTheme="majorHAnsi" w:hAnsiTheme="majorHAnsi"/>
          </w:rPr>
          <w:t>admin@cryptoforinvest.com</w:t>
        </w:r>
      </w:hyperlink>
      <w:bookmarkStart w:id="26" w:name="_Toc523439988"/>
    </w:p>
    <w:p w:rsidR="00957145" w:rsidRDefault="00957145" w:rsidP="00682692">
      <w:pPr>
        <w:rPr>
          <w:rFonts w:asciiTheme="majorHAnsi" w:hAnsiTheme="majorHAnsi"/>
        </w:rPr>
      </w:pPr>
    </w:p>
    <w:p w:rsidR="00682692" w:rsidRDefault="00957145" w:rsidP="00957145">
      <w:pPr>
        <w:jc w:val="center"/>
        <w:rPr>
          <w:rFonts w:asciiTheme="majorHAnsi" w:hAnsiTheme="majorHAnsi"/>
        </w:rPr>
      </w:pPr>
      <w:r>
        <w:rPr>
          <w:noProof/>
          <w:lang w:val="en-US" w:eastAsia="en-US"/>
        </w:rPr>
        <w:drawing>
          <wp:inline distT="0" distB="0" distL="0" distR="0" wp14:anchorId="14D562AE" wp14:editId="59375778">
            <wp:extent cx="6020643" cy="5664200"/>
            <wp:effectExtent l="0" t="0" r="18415" b="12700"/>
            <wp:docPr id="46" name="Chart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26"/>
    <w:p w:rsidR="003B268E" w:rsidRPr="003B268E" w:rsidRDefault="003B268E" w:rsidP="00460C2C"/>
    <w:tbl>
      <w:tblPr>
        <w:tblStyle w:val="Tabellagriglia4-colore5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1271"/>
        <w:gridCol w:w="2835"/>
        <w:gridCol w:w="5244"/>
      </w:tblGrid>
      <w:tr w:rsidR="00BF1FAE" w:rsidRPr="00BF1FAE" w:rsidTr="00BF1F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3"/>
            <w:tcBorders>
              <w:top w:val="none" w:sz="0" w:space="0" w:color="auto"/>
              <w:left w:val="none" w:sz="0" w:space="0" w:color="auto"/>
              <w:bottom w:val="none" w:sz="0" w:space="0" w:color="auto"/>
              <w:right w:val="none" w:sz="0" w:space="0" w:color="auto"/>
            </w:tcBorders>
            <w:shd w:val="clear" w:color="auto" w:fill="F2F2F2" w:themeFill="background1" w:themeFillShade="F2"/>
          </w:tcPr>
          <w:p w:rsidR="00957145" w:rsidRPr="00BF1FAE" w:rsidRDefault="00BF1FAE" w:rsidP="00BF1FAE">
            <w:pPr>
              <w:pStyle w:val="Nessunaspaziatura"/>
              <w:tabs>
                <w:tab w:val="center" w:pos="4567"/>
              </w:tabs>
              <w:rPr>
                <w:rFonts w:ascii="Franklin Gothic Demi" w:hAnsi="Franklin Gothic Demi"/>
                <w:b w:val="0"/>
                <w:color w:val="0D0D0D" w:themeColor="text1" w:themeTint="F2"/>
                <w:sz w:val="32"/>
                <w:szCs w:val="32"/>
                <w:lang w:val="en-US"/>
              </w:rPr>
            </w:pPr>
            <w:r>
              <w:rPr>
                <w:rFonts w:ascii="Franklin Gothic Demi" w:hAnsi="Franklin Gothic Demi"/>
                <w:b w:val="0"/>
                <w:color w:val="0D0D0D" w:themeColor="text1" w:themeTint="F2"/>
                <w:sz w:val="32"/>
                <w:szCs w:val="32"/>
                <w:lang w:val="en-US"/>
              </w:rPr>
              <w:lastRenderedPageBreak/>
              <w:tab/>
            </w:r>
            <w:r w:rsidR="00957145" w:rsidRPr="00BF1FAE">
              <w:rPr>
                <w:rFonts w:ascii="Franklin Gothic Demi" w:hAnsi="Franklin Gothic Demi"/>
                <w:b w:val="0"/>
                <w:color w:val="0D0D0D" w:themeColor="text1" w:themeTint="F2"/>
                <w:sz w:val="32"/>
                <w:szCs w:val="32"/>
                <w:lang w:val="en-US"/>
              </w:rPr>
              <w:t>Funds Allocation by Percent - Details</w:t>
            </w:r>
          </w:p>
        </w:tc>
      </w:tr>
      <w:tr w:rsidR="00BF1FAE" w:rsidRPr="00EF37FB" w:rsidTr="00BF1F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F2F2F2" w:themeFill="background1" w:themeFillShade="F2"/>
          </w:tcPr>
          <w:p w:rsidR="00594DEB" w:rsidRPr="00EF37FB" w:rsidRDefault="00594DEB" w:rsidP="00460C2C">
            <w:pPr>
              <w:pStyle w:val="Nessunaspaziatura"/>
              <w:rPr>
                <w:rFonts w:asciiTheme="majorHAnsi" w:hAnsiTheme="majorHAnsi"/>
                <w:lang w:val="en-US"/>
              </w:rPr>
            </w:pPr>
            <w:r w:rsidRPr="00EF37FB">
              <w:rPr>
                <w:rFonts w:asciiTheme="majorHAnsi" w:hAnsiTheme="majorHAnsi"/>
                <w:lang w:val="en-US"/>
              </w:rPr>
              <w:t>%</w:t>
            </w:r>
          </w:p>
        </w:tc>
        <w:tc>
          <w:tcPr>
            <w:tcW w:w="2835" w:type="dxa"/>
            <w:shd w:val="clear" w:color="auto" w:fill="F2F2F2" w:themeFill="background1" w:themeFillShade="F2"/>
          </w:tcPr>
          <w:p w:rsidR="00594DEB" w:rsidRPr="00EF37FB" w:rsidRDefault="00594DEB" w:rsidP="00460C2C">
            <w:pPr>
              <w:pStyle w:val="Nessunaspaziatura"/>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F37FB">
              <w:rPr>
                <w:rFonts w:asciiTheme="majorHAnsi" w:hAnsiTheme="majorHAnsi"/>
                <w:lang w:val="en-US"/>
              </w:rPr>
              <w:t>Destination</w:t>
            </w:r>
          </w:p>
        </w:tc>
        <w:tc>
          <w:tcPr>
            <w:tcW w:w="5244" w:type="dxa"/>
            <w:shd w:val="clear" w:color="auto" w:fill="F2F2F2" w:themeFill="background1" w:themeFillShade="F2"/>
          </w:tcPr>
          <w:p w:rsidR="00594DEB" w:rsidRPr="00EF37FB" w:rsidRDefault="00594DEB" w:rsidP="00460C2C">
            <w:pPr>
              <w:pStyle w:val="Nessunaspaziatura"/>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F37FB">
              <w:rPr>
                <w:rFonts w:asciiTheme="majorHAnsi" w:hAnsiTheme="majorHAnsi"/>
                <w:lang w:val="en-US"/>
              </w:rPr>
              <w:t>Note</w:t>
            </w:r>
          </w:p>
        </w:tc>
      </w:tr>
      <w:tr w:rsidR="00BF1FAE" w:rsidRPr="00EF37FB" w:rsidTr="00BF1FAE">
        <w:trPr>
          <w:trHeight w:val="134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F2F2F2" w:themeFill="background1" w:themeFillShade="F2"/>
            <w:vAlign w:val="center"/>
          </w:tcPr>
          <w:p w:rsidR="00594DEB" w:rsidRPr="00EF37FB" w:rsidRDefault="00594DEB" w:rsidP="00460C2C">
            <w:pPr>
              <w:pStyle w:val="Nessunaspaziatura"/>
              <w:rPr>
                <w:rFonts w:asciiTheme="majorHAnsi" w:hAnsiTheme="majorHAnsi"/>
                <w:lang w:val="en-US"/>
              </w:rPr>
            </w:pPr>
            <w:r w:rsidRPr="00EF37FB">
              <w:rPr>
                <w:rFonts w:asciiTheme="majorHAnsi" w:hAnsiTheme="majorHAnsi"/>
                <w:lang w:val="en-US"/>
              </w:rPr>
              <w:t>70%</w:t>
            </w:r>
          </w:p>
        </w:tc>
        <w:tc>
          <w:tcPr>
            <w:tcW w:w="2835" w:type="dxa"/>
            <w:shd w:val="clear" w:color="auto" w:fill="F2F2F2" w:themeFill="background1" w:themeFillShade="F2"/>
            <w:vAlign w:val="center"/>
          </w:tcPr>
          <w:p w:rsidR="00594DEB" w:rsidRPr="00EF37FB" w:rsidRDefault="00594DEB" w:rsidP="00460C2C">
            <w:pPr>
              <w:pStyle w:val="Nessunaspaziatura"/>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F37FB">
              <w:rPr>
                <w:rFonts w:asciiTheme="majorHAnsi" w:hAnsiTheme="majorHAnsi"/>
                <w:lang w:val="en-US"/>
              </w:rPr>
              <w:t>Internal Fund</w:t>
            </w:r>
          </w:p>
        </w:tc>
        <w:tc>
          <w:tcPr>
            <w:tcW w:w="5244" w:type="dxa"/>
            <w:shd w:val="clear" w:color="auto" w:fill="F2F2F2" w:themeFill="background1" w:themeFillShade="F2"/>
            <w:vAlign w:val="center"/>
          </w:tcPr>
          <w:p w:rsidR="00594DEB" w:rsidRPr="00EF37FB" w:rsidRDefault="00594DEB" w:rsidP="00460C2C">
            <w:pPr>
              <w:pStyle w:val="Nessunaspaziatura"/>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F37FB">
              <w:rPr>
                <w:rFonts w:asciiTheme="majorHAnsi" w:hAnsiTheme="majorHAnsi"/>
                <w:lang w:val="en-US"/>
              </w:rPr>
              <w:t xml:space="preserve">Will be entirely managed with </w:t>
            </w:r>
            <w:r w:rsidR="00DC4357" w:rsidRPr="00EF37FB">
              <w:rPr>
                <w:rFonts w:asciiTheme="majorHAnsi" w:hAnsiTheme="majorHAnsi"/>
                <w:lang w:val="en-US"/>
              </w:rPr>
              <w:t xml:space="preserve">the </w:t>
            </w:r>
            <w:r w:rsidRPr="00EF37FB">
              <w:rPr>
                <w:rFonts w:asciiTheme="majorHAnsi" w:hAnsiTheme="majorHAnsi"/>
                <w:noProof/>
                <w:lang w:val="en-US"/>
              </w:rPr>
              <w:t>full</w:t>
            </w:r>
            <w:r w:rsidRPr="00EF37FB">
              <w:rPr>
                <w:rFonts w:asciiTheme="majorHAnsi" w:hAnsiTheme="majorHAnsi"/>
                <w:lang w:val="en-US"/>
              </w:rPr>
              <w:t xml:space="preserve"> use of HATS with all 4 different TS. </w:t>
            </w:r>
            <w:r w:rsidRPr="00BF1FAE">
              <w:rPr>
                <w:rFonts w:asciiTheme="majorHAnsi" w:hAnsiTheme="majorHAnsi"/>
                <w:noProof/>
                <w:lang w:val="en-US"/>
              </w:rPr>
              <w:t>Company</w:t>
            </w:r>
            <w:r w:rsidRPr="00EF37FB">
              <w:rPr>
                <w:rFonts w:asciiTheme="majorHAnsi" w:hAnsiTheme="majorHAnsi"/>
                <w:lang w:val="en-US"/>
              </w:rPr>
              <w:t xml:space="preserve"> will maintain </w:t>
            </w:r>
            <w:r w:rsidR="00DC4357" w:rsidRPr="00EF37FB">
              <w:rPr>
                <w:rFonts w:asciiTheme="majorHAnsi" w:hAnsiTheme="majorHAnsi"/>
                <w:lang w:val="en-US"/>
              </w:rPr>
              <w:t xml:space="preserve">a </w:t>
            </w:r>
            <w:r w:rsidRPr="00EF37FB">
              <w:rPr>
                <w:rFonts w:asciiTheme="majorHAnsi" w:hAnsiTheme="majorHAnsi"/>
                <w:noProof/>
                <w:lang w:val="en-US"/>
              </w:rPr>
              <w:t>30</w:t>
            </w:r>
            <w:r w:rsidRPr="00EF37FB">
              <w:rPr>
                <w:rFonts w:asciiTheme="majorHAnsi" w:hAnsiTheme="majorHAnsi"/>
                <w:lang w:val="en-US"/>
              </w:rPr>
              <w:t>% performance fee, while 70% will be shared among token holders.</w:t>
            </w:r>
          </w:p>
        </w:tc>
      </w:tr>
      <w:tr w:rsidR="00594DEB" w:rsidRPr="00EF37FB" w:rsidTr="00BF1FAE">
        <w:trPr>
          <w:cnfStyle w:val="000000100000" w:firstRow="0" w:lastRow="0" w:firstColumn="0" w:lastColumn="0" w:oddVBand="0" w:evenVBand="0" w:oddHBand="1" w:evenHBand="0" w:firstRowFirstColumn="0" w:firstRowLastColumn="0" w:lastRowFirstColumn="0" w:lastRowLastColumn="0"/>
          <w:trHeight w:val="98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F2F2F2" w:themeFill="background1" w:themeFillShade="F2"/>
            <w:vAlign w:val="center"/>
          </w:tcPr>
          <w:p w:rsidR="00594DEB" w:rsidRPr="00EF37FB" w:rsidRDefault="00594DEB" w:rsidP="00460C2C">
            <w:pPr>
              <w:pStyle w:val="Nessunaspaziatura"/>
              <w:rPr>
                <w:rFonts w:asciiTheme="majorHAnsi" w:hAnsiTheme="majorHAnsi"/>
                <w:lang w:val="en-US"/>
              </w:rPr>
            </w:pPr>
            <w:r w:rsidRPr="00EF37FB">
              <w:rPr>
                <w:rFonts w:asciiTheme="majorHAnsi" w:hAnsiTheme="majorHAnsi"/>
                <w:lang w:val="en-US"/>
              </w:rPr>
              <w:t>10%</w:t>
            </w:r>
          </w:p>
        </w:tc>
        <w:tc>
          <w:tcPr>
            <w:tcW w:w="2835" w:type="dxa"/>
            <w:shd w:val="clear" w:color="auto" w:fill="F2F2F2" w:themeFill="background1" w:themeFillShade="F2"/>
            <w:vAlign w:val="center"/>
          </w:tcPr>
          <w:p w:rsidR="00594DEB" w:rsidRPr="00EF37FB" w:rsidRDefault="00594DEB" w:rsidP="00460C2C">
            <w:pPr>
              <w:pStyle w:val="Nessunaspaziatura"/>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F37FB">
              <w:rPr>
                <w:rFonts w:asciiTheme="majorHAnsi" w:hAnsiTheme="majorHAnsi"/>
                <w:lang w:val="en-US"/>
              </w:rPr>
              <w:t>Marketing expenses</w:t>
            </w:r>
          </w:p>
        </w:tc>
        <w:tc>
          <w:tcPr>
            <w:tcW w:w="5244" w:type="dxa"/>
            <w:shd w:val="clear" w:color="auto" w:fill="F2F2F2" w:themeFill="background1" w:themeFillShade="F2"/>
            <w:vAlign w:val="center"/>
          </w:tcPr>
          <w:p w:rsidR="00594DEB" w:rsidRPr="00EF37FB" w:rsidRDefault="00594DEB" w:rsidP="00460C2C">
            <w:pPr>
              <w:pStyle w:val="Nessunaspaziatura"/>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F37FB">
              <w:rPr>
                <w:rFonts w:asciiTheme="majorHAnsi" w:hAnsiTheme="majorHAnsi"/>
                <w:lang w:val="en-US"/>
              </w:rPr>
              <w:t>High Standard PR; Social Media Mix; Classic Advertising; Event marketing in order to explain HATS use and benefits</w:t>
            </w:r>
          </w:p>
        </w:tc>
      </w:tr>
      <w:tr w:rsidR="00594DEB" w:rsidRPr="00EF37FB" w:rsidTr="00BF1FAE">
        <w:trPr>
          <w:trHeight w:val="719"/>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F2F2F2" w:themeFill="background1" w:themeFillShade="F2"/>
            <w:vAlign w:val="center"/>
          </w:tcPr>
          <w:p w:rsidR="00594DEB" w:rsidRPr="00EF37FB" w:rsidRDefault="00594DEB" w:rsidP="00460C2C">
            <w:pPr>
              <w:pStyle w:val="Nessunaspaziatura"/>
              <w:rPr>
                <w:rFonts w:asciiTheme="majorHAnsi" w:hAnsiTheme="majorHAnsi"/>
                <w:lang w:val="en-US"/>
              </w:rPr>
            </w:pPr>
            <w:r w:rsidRPr="00EF37FB">
              <w:rPr>
                <w:rFonts w:asciiTheme="majorHAnsi" w:hAnsiTheme="majorHAnsi"/>
                <w:lang w:val="en-US"/>
              </w:rPr>
              <w:t>5%</w:t>
            </w:r>
          </w:p>
        </w:tc>
        <w:tc>
          <w:tcPr>
            <w:tcW w:w="2835" w:type="dxa"/>
            <w:shd w:val="clear" w:color="auto" w:fill="F2F2F2" w:themeFill="background1" w:themeFillShade="F2"/>
            <w:vAlign w:val="center"/>
          </w:tcPr>
          <w:p w:rsidR="00594DEB" w:rsidRPr="00EF37FB" w:rsidRDefault="00594DEB" w:rsidP="00460C2C">
            <w:pPr>
              <w:pStyle w:val="Nessunaspaziatura"/>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F37FB">
              <w:rPr>
                <w:rFonts w:asciiTheme="majorHAnsi" w:hAnsiTheme="majorHAnsi"/>
                <w:lang w:val="en-US"/>
              </w:rPr>
              <w:t>HATS improvement and updates</w:t>
            </w:r>
          </w:p>
        </w:tc>
        <w:tc>
          <w:tcPr>
            <w:tcW w:w="5244" w:type="dxa"/>
            <w:shd w:val="clear" w:color="auto" w:fill="F2F2F2" w:themeFill="background1" w:themeFillShade="F2"/>
            <w:vAlign w:val="center"/>
          </w:tcPr>
          <w:p w:rsidR="00594DEB" w:rsidRPr="00EF37FB" w:rsidRDefault="00DC4357" w:rsidP="00460C2C">
            <w:pPr>
              <w:pStyle w:val="Nessunaspaziatura"/>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F37FB">
              <w:rPr>
                <w:rFonts w:asciiTheme="majorHAnsi" w:hAnsiTheme="majorHAnsi"/>
                <w:color w:val="000000" w:themeColor="text1"/>
                <w:lang w:val="en-US"/>
              </w:rPr>
              <w:t>Continuous</w:t>
            </w:r>
            <w:r w:rsidR="00594DEB" w:rsidRPr="00EF37FB">
              <w:rPr>
                <w:rFonts w:asciiTheme="majorHAnsi" w:hAnsiTheme="majorHAnsi"/>
                <w:lang w:val="en-US"/>
              </w:rPr>
              <w:t xml:space="preserve"> control and implementation through extensive research on AI possibilities</w:t>
            </w:r>
          </w:p>
        </w:tc>
      </w:tr>
      <w:tr w:rsidR="00594DEB" w:rsidRPr="00EF37FB" w:rsidTr="00BF1FAE">
        <w:trPr>
          <w:cnfStyle w:val="000000100000" w:firstRow="0" w:lastRow="0" w:firstColumn="0" w:lastColumn="0" w:oddVBand="0" w:evenVBand="0" w:oddHBand="1" w:evenHBand="0" w:firstRowFirstColumn="0" w:firstRowLastColumn="0" w:lastRowFirstColumn="0" w:lastRowLastColumn="0"/>
          <w:trHeight w:val="701"/>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F2F2F2" w:themeFill="background1" w:themeFillShade="F2"/>
            <w:vAlign w:val="center"/>
          </w:tcPr>
          <w:p w:rsidR="00594DEB" w:rsidRPr="00EF37FB" w:rsidRDefault="00594DEB" w:rsidP="00460C2C">
            <w:pPr>
              <w:pStyle w:val="Nessunaspaziatura"/>
              <w:rPr>
                <w:rFonts w:asciiTheme="majorHAnsi" w:hAnsiTheme="majorHAnsi"/>
                <w:lang w:val="en-US"/>
              </w:rPr>
            </w:pPr>
            <w:r w:rsidRPr="00EF37FB">
              <w:rPr>
                <w:rFonts w:asciiTheme="majorHAnsi" w:hAnsiTheme="majorHAnsi"/>
                <w:lang w:val="en-US"/>
              </w:rPr>
              <w:t>8%</w:t>
            </w:r>
          </w:p>
        </w:tc>
        <w:tc>
          <w:tcPr>
            <w:tcW w:w="2835" w:type="dxa"/>
            <w:shd w:val="clear" w:color="auto" w:fill="F2F2F2" w:themeFill="background1" w:themeFillShade="F2"/>
            <w:vAlign w:val="center"/>
          </w:tcPr>
          <w:p w:rsidR="00594DEB" w:rsidRPr="00EF37FB" w:rsidRDefault="00594DEB" w:rsidP="00460C2C">
            <w:pPr>
              <w:pStyle w:val="Nessunaspaziatura"/>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F37FB">
              <w:rPr>
                <w:rFonts w:asciiTheme="majorHAnsi" w:hAnsiTheme="majorHAnsi"/>
                <w:lang w:val="en-US"/>
              </w:rPr>
              <w:t>Sentiment Index</w:t>
            </w:r>
          </w:p>
        </w:tc>
        <w:tc>
          <w:tcPr>
            <w:tcW w:w="5244" w:type="dxa"/>
            <w:shd w:val="clear" w:color="auto" w:fill="F2F2F2" w:themeFill="background1" w:themeFillShade="F2"/>
            <w:vAlign w:val="center"/>
          </w:tcPr>
          <w:p w:rsidR="00594DEB" w:rsidRPr="00EF37FB" w:rsidRDefault="00594DEB" w:rsidP="00460C2C">
            <w:pPr>
              <w:pStyle w:val="Nessunaspaziatura"/>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F37FB">
              <w:rPr>
                <w:rFonts w:asciiTheme="majorHAnsi" w:hAnsiTheme="majorHAnsi"/>
                <w:lang w:val="en-US"/>
              </w:rPr>
              <w:t>First two years budget to incentivize common people to participate in Sentiment Index creation</w:t>
            </w:r>
          </w:p>
        </w:tc>
      </w:tr>
      <w:tr w:rsidR="00594DEB" w:rsidRPr="00EF37FB" w:rsidTr="00BF1FAE">
        <w:trPr>
          <w:trHeight w:val="989"/>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F2F2F2" w:themeFill="background1" w:themeFillShade="F2"/>
            <w:vAlign w:val="center"/>
          </w:tcPr>
          <w:p w:rsidR="00594DEB" w:rsidRPr="00EF37FB" w:rsidRDefault="00594DEB" w:rsidP="00460C2C">
            <w:pPr>
              <w:pStyle w:val="Nessunaspaziatura"/>
              <w:rPr>
                <w:rFonts w:asciiTheme="majorHAnsi" w:hAnsiTheme="majorHAnsi"/>
                <w:lang w:val="en-US"/>
              </w:rPr>
            </w:pPr>
            <w:r w:rsidRPr="00EF37FB">
              <w:rPr>
                <w:rFonts w:asciiTheme="majorHAnsi" w:hAnsiTheme="majorHAnsi"/>
                <w:lang w:val="en-US"/>
              </w:rPr>
              <w:t>5%</w:t>
            </w:r>
          </w:p>
        </w:tc>
        <w:tc>
          <w:tcPr>
            <w:tcW w:w="2835" w:type="dxa"/>
            <w:shd w:val="clear" w:color="auto" w:fill="F2F2F2" w:themeFill="background1" w:themeFillShade="F2"/>
            <w:vAlign w:val="center"/>
          </w:tcPr>
          <w:p w:rsidR="00594DEB" w:rsidRPr="00EF37FB" w:rsidRDefault="00594DEB" w:rsidP="00460C2C">
            <w:pPr>
              <w:pStyle w:val="Nessunaspaziatura"/>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F37FB">
              <w:rPr>
                <w:rFonts w:asciiTheme="majorHAnsi" w:hAnsiTheme="majorHAnsi"/>
                <w:lang w:val="en-US"/>
              </w:rPr>
              <w:t>General Expenses</w:t>
            </w:r>
          </w:p>
        </w:tc>
        <w:tc>
          <w:tcPr>
            <w:tcW w:w="5244" w:type="dxa"/>
            <w:shd w:val="clear" w:color="auto" w:fill="F2F2F2" w:themeFill="background1" w:themeFillShade="F2"/>
            <w:vAlign w:val="center"/>
          </w:tcPr>
          <w:p w:rsidR="00594DEB" w:rsidRPr="00EF37FB" w:rsidRDefault="00594DEB" w:rsidP="00460C2C">
            <w:pPr>
              <w:pStyle w:val="Nessunaspaziatura"/>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F37FB">
              <w:rPr>
                <w:rFonts w:asciiTheme="majorHAnsi" w:hAnsiTheme="majorHAnsi"/>
                <w:lang w:val="en-US"/>
              </w:rPr>
              <w:t>First two years budget for Office Rent; Management and Employees Salary; other Office, Travel</w:t>
            </w:r>
            <w:r w:rsidR="00DC4357" w:rsidRPr="005C456C">
              <w:rPr>
                <w:rFonts w:asciiTheme="majorHAnsi" w:hAnsiTheme="majorHAnsi"/>
                <w:noProof/>
                <w:lang w:val="en-US"/>
              </w:rPr>
              <w:t>,</w:t>
            </w:r>
            <w:r w:rsidR="005C456C">
              <w:rPr>
                <w:rFonts w:asciiTheme="majorHAnsi" w:hAnsiTheme="majorHAnsi"/>
                <w:noProof/>
                <w:lang w:val="en-US"/>
              </w:rPr>
              <w:t xml:space="preserve"> </w:t>
            </w:r>
            <w:r w:rsidRPr="005C456C">
              <w:rPr>
                <w:rFonts w:asciiTheme="majorHAnsi" w:hAnsiTheme="majorHAnsi"/>
                <w:noProof/>
                <w:lang w:val="en-US"/>
              </w:rPr>
              <w:t>and</w:t>
            </w:r>
            <w:r w:rsidRPr="00EF37FB">
              <w:rPr>
                <w:rFonts w:asciiTheme="majorHAnsi" w:hAnsiTheme="majorHAnsi"/>
                <w:lang w:val="en-US"/>
              </w:rPr>
              <w:t xml:space="preserve"> minor expenses</w:t>
            </w:r>
          </w:p>
        </w:tc>
      </w:tr>
      <w:tr w:rsidR="00594DEB" w:rsidRPr="00EF37FB" w:rsidTr="00BF1FAE">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F2F2F2" w:themeFill="background1" w:themeFillShade="F2"/>
            <w:vAlign w:val="center"/>
          </w:tcPr>
          <w:p w:rsidR="00594DEB" w:rsidRPr="00EF37FB" w:rsidRDefault="00594DEB" w:rsidP="00460C2C">
            <w:pPr>
              <w:pStyle w:val="Nessunaspaziatura"/>
              <w:rPr>
                <w:rFonts w:asciiTheme="majorHAnsi" w:hAnsiTheme="majorHAnsi"/>
                <w:lang w:val="en-US"/>
              </w:rPr>
            </w:pPr>
            <w:r w:rsidRPr="00EF37FB">
              <w:rPr>
                <w:rFonts w:asciiTheme="majorHAnsi" w:hAnsiTheme="majorHAnsi"/>
                <w:lang w:val="en-US"/>
              </w:rPr>
              <w:t>2%</w:t>
            </w:r>
          </w:p>
        </w:tc>
        <w:tc>
          <w:tcPr>
            <w:tcW w:w="2835" w:type="dxa"/>
            <w:shd w:val="clear" w:color="auto" w:fill="F2F2F2" w:themeFill="background1" w:themeFillShade="F2"/>
            <w:vAlign w:val="center"/>
          </w:tcPr>
          <w:p w:rsidR="00594DEB" w:rsidRPr="00EF37FB" w:rsidRDefault="00594DEB" w:rsidP="00460C2C">
            <w:pPr>
              <w:pStyle w:val="Nessunaspaziatura"/>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F37FB">
              <w:rPr>
                <w:rFonts w:asciiTheme="majorHAnsi" w:hAnsiTheme="majorHAnsi"/>
                <w:lang w:val="en-US"/>
              </w:rPr>
              <w:t>Various not forecasted</w:t>
            </w:r>
          </w:p>
        </w:tc>
        <w:tc>
          <w:tcPr>
            <w:tcW w:w="5244" w:type="dxa"/>
            <w:shd w:val="clear" w:color="auto" w:fill="F2F2F2" w:themeFill="background1" w:themeFillShade="F2"/>
            <w:vAlign w:val="center"/>
          </w:tcPr>
          <w:p w:rsidR="00594DEB" w:rsidRPr="00EF37FB" w:rsidRDefault="00594DEB" w:rsidP="00460C2C">
            <w:pPr>
              <w:pStyle w:val="Nessunaspaziatura"/>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p>
        </w:tc>
      </w:tr>
    </w:tbl>
    <w:p w:rsidR="00594DEB" w:rsidRPr="00834D61" w:rsidRDefault="00594DEB" w:rsidP="00460C2C">
      <w:pPr>
        <w:rPr>
          <w:rFonts w:asciiTheme="majorHAnsi" w:hAnsiTheme="majorHAnsi"/>
        </w:rPr>
      </w:pPr>
    </w:p>
    <w:p w:rsidR="00594DEB" w:rsidRPr="007E2132" w:rsidRDefault="00594DEB" w:rsidP="00460C2C">
      <w:pPr>
        <w:rPr>
          <w:rFonts w:asciiTheme="majorHAnsi" w:hAnsiTheme="majorHAnsi" w:cs="Calibri"/>
          <w:lang w:val="en-US"/>
        </w:rPr>
      </w:pPr>
      <w:r w:rsidRPr="007E2132">
        <w:rPr>
          <w:rFonts w:asciiTheme="majorHAnsi" w:hAnsiTheme="majorHAnsi"/>
          <w:b/>
        </w:rPr>
        <w:t>Project sustainability and scalability</w:t>
      </w:r>
      <w:r w:rsidRPr="007E2132">
        <w:rPr>
          <w:rFonts w:asciiTheme="majorHAnsi" w:hAnsiTheme="majorHAnsi"/>
        </w:rPr>
        <w:t>:</w:t>
      </w:r>
      <w:r w:rsidR="007E2132" w:rsidRPr="007E2132">
        <w:rPr>
          <w:rFonts w:asciiTheme="majorHAnsi" w:hAnsiTheme="majorHAnsi"/>
        </w:rPr>
        <w:t xml:space="preserve"> </w:t>
      </w:r>
      <w:r w:rsidR="007E2132" w:rsidRPr="007E2132">
        <w:rPr>
          <w:rFonts w:asciiTheme="majorHAnsi" w:hAnsiTheme="majorHAnsi" w:cs="Calibri"/>
          <w:lang w:val="en-US"/>
        </w:rPr>
        <w:t>Since the major expense over time is marketing, that is defined as a percentage of the revenues coming from the sale of tokens and of the sale of products, the project sustains itself from a minimum of 15 million euro of tokens sold. That will give 4.5 million euros of investments possible, and approximately a minimum return for the company of 1 million euros per year. This is enough to ensure proper management and growth.</w:t>
      </w:r>
    </w:p>
    <w:p w:rsidR="00594DEB" w:rsidRPr="003C15AA" w:rsidRDefault="00594DEB" w:rsidP="00460C2C">
      <w:pPr>
        <w:pStyle w:val="Titolo2"/>
        <w:rPr>
          <w:rFonts w:ascii="Franklin Gothic Demi" w:eastAsia="Times New Roman" w:hAnsi="Franklin Gothic Demi" w:cs="Times New Roman"/>
          <w:b w:val="0"/>
          <w:bCs w:val="0"/>
          <w:iCs w:val="0"/>
          <w:color w:val="018BB3"/>
          <w:spacing w:val="26"/>
          <w:szCs w:val="36"/>
        </w:rPr>
      </w:pPr>
      <w:bookmarkStart w:id="27" w:name="_Toc523439989"/>
      <w:r w:rsidRPr="003C15AA">
        <w:rPr>
          <w:rFonts w:ascii="Franklin Gothic Demi" w:eastAsia="Times New Roman" w:hAnsi="Franklin Gothic Demi" w:cs="Times New Roman"/>
          <w:b w:val="0"/>
          <w:bCs w:val="0"/>
          <w:iCs w:val="0"/>
          <w:color w:val="018BB3"/>
          <w:spacing w:val="26"/>
          <w:szCs w:val="36"/>
        </w:rPr>
        <w:t>Benefits for third parties and other expenditure</w:t>
      </w:r>
      <w:bookmarkEnd w:id="27"/>
    </w:p>
    <w:p w:rsidR="00D72775" w:rsidRDefault="00594DEB" w:rsidP="00460C2C">
      <w:pPr>
        <w:rPr>
          <w:rFonts w:asciiTheme="majorHAnsi" w:hAnsiTheme="majorHAnsi"/>
        </w:rPr>
      </w:pPr>
      <w:r w:rsidRPr="007E2132">
        <w:rPr>
          <w:rFonts w:asciiTheme="majorHAnsi" w:hAnsiTheme="majorHAnsi"/>
          <w:b/>
        </w:rPr>
        <w:t>Preliminary expenses (amount or estimated amount) and persons by whom they have been paid or are payable</w:t>
      </w:r>
      <w:r w:rsidRPr="007E2132">
        <w:rPr>
          <w:rFonts w:asciiTheme="majorHAnsi" w:hAnsiTheme="majorHAnsi"/>
        </w:rPr>
        <w:t>:</w:t>
      </w:r>
      <w:r w:rsidR="007E2132" w:rsidRPr="007E2132">
        <w:rPr>
          <w:rFonts w:asciiTheme="majorHAnsi" w:hAnsiTheme="majorHAnsi"/>
        </w:rPr>
        <w:t xml:space="preserve"> </w:t>
      </w:r>
      <w:r w:rsidR="00D72775">
        <w:rPr>
          <w:rFonts w:asciiTheme="majorHAnsi" w:hAnsiTheme="majorHAnsi"/>
        </w:rPr>
        <w:br/>
      </w:r>
    </w:p>
    <w:p w:rsidR="007E2132" w:rsidRPr="00D72775" w:rsidRDefault="007E2132" w:rsidP="00460C2C">
      <w:pPr>
        <w:pStyle w:val="Paragrafoelenco"/>
        <w:numPr>
          <w:ilvl w:val="0"/>
          <w:numId w:val="33"/>
        </w:numPr>
        <w:rPr>
          <w:rFonts w:asciiTheme="majorHAnsi" w:hAnsiTheme="majorHAnsi" w:cs="Calibri"/>
          <w:lang w:val="en-US"/>
        </w:rPr>
      </w:pPr>
      <w:r w:rsidRPr="00D72775">
        <w:rPr>
          <w:rFonts w:asciiTheme="majorHAnsi" w:hAnsiTheme="majorHAnsi" w:cs="Calibri"/>
          <w:lang w:val="en-US"/>
        </w:rPr>
        <w:t>300,000 euros of cash. Investments by Marco Mottana and Fabrizio Crimi of 100,000, and CFX Holding Ltd of 200,000 by means of debt towards third investors financing.</w:t>
      </w:r>
    </w:p>
    <w:p w:rsidR="00594DEB" w:rsidRPr="00D72775" w:rsidRDefault="007E2132" w:rsidP="00460C2C">
      <w:pPr>
        <w:pStyle w:val="Paragrafoelenco"/>
        <w:numPr>
          <w:ilvl w:val="0"/>
          <w:numId w:val="33"/>
        </w:numPr>
        <w:spacing w:line="259" w:lineRule="auto"/>
        <w:rPr>
          <w:rFonts w:asciiTheme="majorHAnsi" w:hAnsiTheme="majorHAnsi" w:cs="Calibri"/>
          <w:lang w:val="en-US"/>
        </w:rPr>
      </w:pPr>
      <w:r w:rsidRPr="00D72775">
        <w:rPr>
          <w:rFonts w:asciiTheme="majorHAnsi" w:hAnsiTheme="majorHAnsi" w:cs="Calibri"/>
          <w:lang w:val="en-US"/>
        </w:rPr>
        <w:t xml:space="preserve">300,000 of actual work time by Marco Mottana, Fabrizio Crimi, and external consultants before company </w:t>
      </w:r>
      <w:r w:rsidRPr="007208E6">
        <w:rPr>
          <w:rFonts w:asciiTheme="majorHAnsi" w:hAnsiTheme="majorHAnsi" w:cs="Calibri"/>
          <w:noProof/>
          <w:lang w:val="en-US"/>
        </w:rPr>
        <w:t>setup</w:t>
      </w:r>
      <w:r w:rsidRPr="00D72775">
        <w:rPr>
          <w:rFonts w:asciiTheme="majorHAnsi" w:hAnsiTheme="majorHAnsi" w:cs="Calibri"/>
          <w:lang w:val="en-US"/>
        </w:rPr>
        <w:t xml:space="preserve"> in order to construct the project during 2017-2018 (</w:t>
      </w:r>
      <w:r w:rsidRPr="00F554AA">
        <w:rPr>
          <w:rFonts w:asciiTheme="majorHAnsi" w:hAnsiTheme="majorHAnsi" w:cs="Calibri"/>
          <w:color w:val="FF0000"/>
          <w:lang w:val="en-US"/>
        </w:rPr>
        <w:t>to be certified</w:t>
      </w:r>
      <w:r w:rsidRPr="00D72775">
        <w:rPr>
          <w:rFonts w:asciiTheme="majorHAnsi" w:hAnsiTheme="majorHAnsi" w:cs="Calibri"/>
          <w:lang w:val="en-US"/>
        </w:rPr>
        <w:t>).</w:t>
      </w:r>
    </w:p>
    <w:p w:rsidR="007E2132" w:rsidRPr="007E2132" w:rsidRDefault="007E2132" w:rsidP="00460C2C">
      <w:pPr>
        <w:spacing w:line="259" w:lineRule="auto"/>
        <w:rPr>
          <w:rFonts w:asciiTheme="majorHAnsi" w:hAnsiTheme="majorHAnsi"/>
        </w:rPr>
      </w:pPr>
    </w:p>
    <w:p w:rsidR="00594DEB" w:rsidRPr="007E2132" w:rsidRDefault="00594DEB" w:rsidP="00460C2C">
      <w:pPr>
        <w:spacing w:line="259" w:lineRule="auto"/>
        <w:rPr>
          <w:rFonts w:asciiTheme="majorHAnsi" w:hAnsiTheme="majorHAnsi"/>
        </w:rPr>
      </w:pPr>
      <w:r w:rsidRPr="007E2132">
        <w:rPr>
          <w:rFonts w:asciiTheme="majorHAnsi" w:hAnsiTheme="majorHAnsi"/>
          <w:b/>
        </w:rPr>
        <w:lastRenderedPageBreak/>
        <w:t>Issuance expenses paid</w:t>
      </w:r>
      <w:r w:rsidR="009500FF" w:rsidRPr="007E2132">
        <w:rPr>
          <w:rFonts w:asciiTheme="majorHAnsi" w:hAnsiTheme="majorHAnsi"/>
          <w:b/>
        </w:rPr>
        <w:t xml:space="preserve"> or payable</w:t>
      </w:r>
      <w:r w:rsidRPr="007E2132">
        <w:rPr>
          <w:rFonts w:asciiTheme="majorHAnsi" w:hAnsiTheme="majorHAnsi"/>
        </w:rPr>
        <w:t xml:space="preserve">: </w:t>
      </w:r>
      <w:r w:rsidR="00323F95" w:rsidRPr="007E2132">
        <w:rPr>
          <w:rFonts w:asciiTheme="majorHAnsi" w:hAnsiTheme="majorHAnsi"/>
        </w:rPr>
        <w:t>KYC costs are 3.5€/</w:t>
      </w:r>
      <w:r w:rsidR="009500FF" w:rsidRPr="007E2132">
        <w:rPr>
          <w:rFonts w:asciiTheme="majorHAnsi" w:hAnsiTheme="majorHAnsi"/>
        </w:rPr>
        <w:t>participant, excluding server costs and web services.</w:t>
      </w:r>
    </w:p>
    <w:p w:rsidR="007E2132" w:rsidRPr="00EF37FB" w:rsidRDefault="007E2132" w:rsidP="00460C2C">
      <w:pPr>
        <w:spacing w:line="259" w:lineRule="auto"/>
        <w:rPr>
          <w:rFonts w:asciiTheme="majorHAnsi" w:hAnsiTheme="majorHAnsi"/>
          <w:b/>
        </w:rPr>
      </w:pPr>
    </w:p>
    <w:p w:rsidR="00594DEB" w:rsidRDefault="00594DEB" w:rsidP="00460C2C">
      <w:pPr>
        <w:spacing w:line="259" w:lineRule="auto"/>
        <w:rPr>
          <w:rFonts w:asciiTheme="majorHAnsi" w:hAnsiTheme="majorHAnsi"/>
          <w:color w:val="FF0000"/>
        </w:rPr>
      </w:pPr>
      <w:r w:rsidRPr="007E2132">
        <w:rPr>
          <w:rFonts w:asciiTheme="majorHAnsi" w:hAnsiTheme="majorHAnsi"/>
          <w:b/>
        </w:rPr>
        <w:t>VFA agent fees or benefits</w:t>
      </w:r>
      <w:r w:rsidRPr="007E2132">
        <w:rPr>
          <w:rFonts w:asciiTheme="majorHAnsi" w:hAnsiTheme="majorHAnsi"/>
        </w:rPr>
        <w:t>:</w:t>
      </w:r>
      <w:r w:rsidR="007E2132" w:rsidRPr="007E2132">
        <w:rPr>
          <w:rFonts w:asciiTheme="majorHAnsi" w:hAnsiTheme="majorHAnsi"/>
        </w:rPr>
        <w:t xml:space="preserve"> </w:t>
      </w:r>
      <w:r w:rsidR="007E2132" w:rsidRPr="007E2132">
        <w:rPr>
          <w:rFonts w:asciiTheme="majorHAnsi" w:hAnsiTheme="majorHAnsi"/>
          <w:color w:val="FF0000"/>
        </w:rPr>
        <w:t>TBD</w:t>
      </w:r>
    </w:p>
    <w:p w:rsidR="00F554AA" w:rsidRPr="007E2132" w:rsidRDefault="00F554AA" w:rsidP="00460C2C">
      <w:pPr>
        <w:spacing w:line="259" w:lineRule="auto"/>
        <w:rPr>
          <w:rFonts w:asciiTheme="majorHAnsi" w:hAnsiTheme="majorHAnsi"/>
          <w:color w:val="FF0000"/>
        </w:rPr>
      </w:pPr>
    </w:p>
    <w:p w:rsidR="00594DEB" w:rsidRPr="007E2132" w:rsidRDefault="00594DEB" w:rsidP="00460C2C">
      <w:pPr>
        <w:spacing w:line="259" w:lineRule="auto"/>
        <w:rPr>
          <w:rFonts w:asciiTheme="majorHAnsi" w:hAnsiTheme="majorHAnsi"/>
        </w:rPr>
      </w:pPr>
      <w:r w:rsidRPr="007E2132">
        <w:rPr>
          <w:rFonts w:asciiTheme="majorHAnsi" w:hAnsiTheme="majorHAnsi"/>
          <w:b/>
        </w:rPr>
        <w:t>Endorser fees or benefits, terms</w:t>
      </w:r>
      <w:r w:rsidRPr="007E2132">
        <w:rPr>
          <w:rFonts w:asciiTheme="majorHAnsi" w:hAnsiTheme="majorHAnsi"/>
        </w:rPr>
        <w:t>:</w:t>
      </w:r>
      <w:r w:rsidR="007E2132" w:rsidRPr="007E2132">
        <w:rPr>
          <w:rFonts w:asciiTheme="majorHAnsi" w:hAnsiTheme="majorHAnsi"/>
        </w:rPr>
        <w:t xml:space="preserve"> </w:t>
      </w:r>
      <w:r w:rsidR="007E2132" w:rsidRPr="007E2132">
        <w:rPr>
          <w:rFonts w:asciiTheme="majorHAnsi" w:hAnsiTheme="majorHAnsi"/>
          <w:color w:val="FF0000"/>
        </w:rPr>
        <w:t>TBD</w:t>
      </w:r>
    </w:p>
    <w:tbl>
      <w:tblPr>
        <w:tblStyle w:val="Grigliatabella"/>
        <w:tblW w:w="0" w:type="auto"/>
        <w:tblBorders>
          <w:top w:val="none" w:sz="0" w:space="0" w:color="auto"/>
          <w:left w:val="none" w:sz="0" w:space="0" w:color="auto"/>
          <w:bottom w:val="single" w:sz="12" w:space="0" w:color="018BB3"/>
          <w:right w:val="none" w:sz="0" w:space="0" w:color="auto"/>
          <w:insideH w:val="none" w:sz="0" w:space="0" w:color="auto"/>
          <w:insideV w:val="none" w:sz="0" w:space="0" w:color="auto"/>
        </w:tblBorders>
        <w:tblCellMar>
          <w:top w:w="288" w:type="dxa"/>
          <w:left w:w="115" w:type="dxa"/>
          <w:bottom w:w="288" w:type="dxa"/>
          <w:right w:w="115" w:type="dxa"/>
        </w:tblCellMar>
        <w:tblLook w:val="04A0" w:firstRow="1" w:lastRow="0" w:firstColumn="1" w:lastColumn="0" w:noHBand="0" w:noVBand="1"/>
      </w:tblPr>
      <w:tblGrid>
        <w:gridCol w:w="9576"/>
      </w:tblGrid>
      <w:tr w:rsidR="00EF37FB" w:rsidTr="00B50DB3">
        <w:tc>
          <w:tcPr>
            <w:tcW w:w="9576" w:type="dxa"/>
          </w:tcPr>
          <w:p w:rsidR="00EF37FB" w:rsidRDefault="00EF37FB" w:rsidP="00460C2C">
            <w:pPr>
              <w:pStyle w:val="Titolo1"/>
            </w:pPr>
            <w:bookmarkStart w:id="28" w:name="_Toc523439990"/>
            <w:bookmarkStart w:id="29" w:name="_Toc256000078"/>
            <w:bookmarkStart w:id="30" w:name="_Toc256000059"/>
            <w:bookmarkStart w:id="31" w:name="_Toc256000040"/>
            <w:bookmarkStart w:id="32" w:name="_Toc256000021"/>
            <w:bookmarkStart w:id="33" w:name="_Toc256000002"/>
            <w:r w:rsidRPr="003C15AA">
              <w:rPr>
                <w:rFonts w:ascii="Franklin Gothic Demi" w:hAnsi="Franklin Gothic Demi"/>
                <w:color w:val="018BB3"/>
                <w:spacing w:val="26"/>
              </w:rPr>
              <w:t>Expectations</w:t>
            </w:r>
            <w:bookmarkEnd w:id="28"/>
          </w:p>
        </w:tc>
      </w:tr>
    </w:tbl>
    <w:p w:rsidR="004B110F" w:rsidRPr="003C15AA" w:rsidRDefault="001B78B5" w:rsidP="00460C2C">
      <w:pPr>
        <w:pStyle w:val="Titolo2"/>
        <w:rPr>
          <w:rFonts w:ascii="Franklin Gothic Demi" w:eastAsia="Times New Roman" w:hAnsi="Franklin Gothic Demi" w:cs="Times New Roman"/>
          <w:b w:val="0"/>
          <w:bCs w:val="0"/>
          <w:iCs w:val="0"/>
          <w:color w:val="018BB3"/>
          <w:spacing w:val="26"/>
          <w:szCs w:val="36"/>
        </w:rPr>
      </w:pPr>
      <w:bookmarkStart w:id="34" w:name="_Toc523439991"/>
      <w:bookmarkEnd w:id="29"/>
      <w:bookmarkEnd w:id="30"/>
      <w:bookmarkEnd w:id="31"/>
      <w:bookmarkEnd w:id="32"/>
      <w:bookmarkEnd w:id="33"/>
      <w:r w:rsidRPr="003C15AA">
        <w:rPr>
          <w:rFonts w:ascii="Franklin Gothic Demi" w:eastAsia="Times New Roman" w:hAnsi="Franklin Gothic Demi" w:cs="Times New Roman"/>
          <w:b w:val="0"/>
          <w:bCs w:val="0"/>
          <w:iCs w:val="0"/>
          <w:color w:val="018BB3"/>
          <w:spacing w:val="26"/>
          <w:szCs w:val="36"/>
        </w:rPr>
        <w:t>Forecast</w:t>
      </w:r>
      <w:bookmarkEnd w:id="34"/>
    </w:p>
    <w:p w:rsidR="00EF37FB" w:rsidRDefault="001B78B5" w:rsidP="00460C2C">
      <w:pPr>
        <w:pStyle w:val="Corpotesto"/>
        <w:spacing w:after="280"/>
        <w:rPr>
          <w:rFonts w:asciiTheme="majorHAnsi" w:hAnsiTheme="majorHAnsi" w:cs="Times New Roman"/>
          <w:noProof/>
        </w:rPr>
      </w:pPr>
      <w:r w:rsidRPr="00EF37FB">
        <w:rPr>
          <w:rFonts w:asciiTheme="majorHAnsi" w:hAnsiTheme="majorHAnsi" w:cs="Times New Roman"/>
        </w:rPr>
        <w:t xml:space="preserve">In the next couple of </w:t>
      </w:r>
      <w:r w:rsidRPr="00EF37FB">
        <w:rPr>
          <w:rFonts w:asciiTheme="majorHAnsi" w:hAnsiTheme="majorHAnsi" w:cs="Times New Roman"/>
          <w:noProof/>
        </w:rPr>
        <w:t>years</w:t>
      </w:r>
      <w:r w:rsidR="00272F82" w:rsidRPr="00EF37FB">
        <w:rPr>
          <w:rFonts w:asciiTheme="majorHAnsi" w:hAnsiTheme="majorHAnsi" w:cs="Times New Roman"/>
          <w:noProof/>
        </w:rPr>
        <w:t>,</w:t>
      </w:r>
      <w:r w:rsidRPr="00EF37FB">
        <w:rPr>
          <w:rFonts w:asciiTheme="majorHAnsi" w:hAnsiTheme="majorHAnsi" w:cs="Times New Roman"/>
        </w:rPr>
        <w:t xml:space="preserve"> we count </w:t>
      </w:r>
      <w:r w:rsidRPr="00EF37FB">
        <w:rPr>
          <w:rFonts w:asciiTheme="majorHAnsi" w:hAnsiTheme="majorHAnsi" w:cs="Times New Roman"/>
          <w:noProof/>
        </w:rPr>
        <w:t>on:</w:t>
      </w:r>
    </w:p>
    <w:p w:rsidR="00EF37FB" w:rsidRDefault="001B78B5" w:rsidP="00460C2C">
      <w:pPr>
        <w:pStyle w:val="Corpotesto"/>
        <w:numPr>
          <w:ilvl w:val="3"/>
          <w:numId w:val="19"/>
        </w:numPr>
        <w:spacing w:after="280"/>
        <w:ind w:left="360"/>
        <w:rPr>
          <w:rFonts w:asciiTheme="majorHAnsi" w:hAnsiTheme="majorHAnsi" w:cs="Times New Roman"/>
        </w:rPr>
      </w:pPr>
      <w:r w:rsidRPr="00EF37FB">
        <w:rPr>
          <w:rFonts w:asciiTheme="majorHAnsi" w:hAnsiTheme="majorHAnsi" w:cs="Times New Roman"/>
          <w:b/>
          <w:bCs/>
        </w:rPr>
        <w:t>Achieving authorizations</w:t>
      </w:r>
      <w:r w:rsidRPr="00EF37FB">
        <w:rPr>
          <w:rFonts w:asciiTheme="majorHAnsi" w:hAnsiTheme="majorHAnsi" w:cs="Times New Roman"/>
        </w:rPr>
        <w:t xml:space="preserve"> for direct money management and distribution of our Funds</w:t>
      </w:r>
      <w:r w:rsidR="00E043E9" w:rsidRPr="00EF37FB">
        <w:rPr>
          <w:rFonts w:asciiTheme="majorHAnsi" w:hAnsiTheme="majorHAnsi" w:cs="Times New Roman"/>
        </w:rPr>
        <w:t>.</w:t>
      </w:r>
    </w:p>
    <w:p w:rsidR="00EF37FB" w:rsidRDefault="00026C04" w:rsidP="00460C2C">
      <w:pPr>
        <w:pStyle w:val="Corpotesto"/>
        <w:numPr>
          <w:ilvl w:val="3"/>
          <w:numId w:val="19"/>
        </w:numPr>
        <w:spacing w:after="280"/>
        <w:ind w:left="360"/>
        <w:rPr>
          <w:rFonts w:asciiTheme="majorHAnsi" w:hAnsiTheme="majorHAnsi" w:cs="Times New Roman"/>
        </w:rPr>
      </w:pPr>
      <w:r w:rsidRPr="00EF37FB">
        <w:rPr>
          <w:rFonts w:asciiTheme="majorHAnsi" w:hAnsiTheme="majorHAnsi" w:cs="Times New Roman"/>
          <w:b/>
          <w:bCs/>
        </w:rPr>
        <w:t>Proving</w:t>
      </w:r>
      <w:r w:rsidR="001B78B5" w:rsidRPr="00EF37FB">
        <w:rPr>
          <w:rFonts w:asciiTheme="majorHAnsi" w:hAnsiTheme="majorHAnsi" w:cs="Times New Roman"/>
          <w:b/>
          <w:bCs/>
        </w:rPr>
        <w:t xml:space="preserve"> results of our Trading System</w:t>
      </w:r>
      <w:r w:rsidR="001B78B5" w:rsidRPr="00EF37FB">
        <w:rPr>
          <w:rFonts w:asciiTheme="majorHAnsi" w:hAnsiTheme="majorHAnsi" w:cs="Times New Roman"/>
        </w:rPr>
        <w:t>, in a clear and unquestionable way: official NAV of Funds managed with i</w:t>
      </w:r>
      <w:r w:rsidRPr="00EF37FB">
        <w:rPr>
          <w:rFonts w:asciiTheme="majorHAnsi" w:hAnsiTheme="majorHAnsi" w:cs="Times New Roman"/>
        </w:rPr>
        <w:t>ts directives, listed at major</w:t>
      </w:r>
      <w:r w:rsidR="001B78B5" w:rsidRPr="00EF37FB">
        <w:rPr>
          <w:rFonts w:asciiTheme="majorHAnsi" w:hAnsiTheme="majorHAnsi" w:cs="Times New Roman"/>
        </w:rPr>
        <w:t xml:space="preserve"> Stock Exchanges in Germany and Switzerland.</w:t>
      </w:r>
    </w:p>
    <w:p w:rsidR="00EF37FB" w:rsidRDefault="001B78B5" w:rsidP="00460C2C">
      <w:pPr>
        <w:pStyle w:val="Corpotesto"/>
        <w:numPr>
          <w:ilvl w:val="3"/>
          <w:numId w:val="19"/>
        </w:numPr>
        <w:spacing w:after="280"/>
        <w:ind w:left="360"/>
        <w:rPr>
          <w:rFonts w:asciiTheme="majorHAnsi" w:hAnsiTheme="majorHAnsi" w:cs="Times New Roman"/>
        </w:rPr>
      </w:pPr>
      <w:r w:rsidRPr="00EF37FB">
        <w:rPr>
          <w:rFonts w:asciiTheme="majorHAnsi" w:hAnsiTheme="majorHAnsi" w:cs="Times New Roman"/>
          <w:b/>
          <w:bCs/>
        </w:rPr>
        <w:t>Bring Sentiment Index to full efficacy</w:t>
      </w:r>
      <w:r w:rsidRPr="00EF37FB">
        <w:rPr>
          <w:rFonts w:asciiTheme="majorHAnsi" w:hAnsiTheme="majorHAnsi" w:cs="Times New Roman"/>
        </w:rPr>
        <w:t xml:space="preserve">, </w:t>
      </w:r>
      <w:r w:rsidRPr="00EF37FB">
        <w:rPr>
          <w:rFonts w:asciiTheme="majorHAnsi" w:hAnsiTheme="majorHAnsi" w:cs="Times New Roman"/>
          <w:noProof/>
        </w:rPr>
        <w:t>worl</w:t>
      </w:r>
      <w:r w:rsidR="00E043E9" w:rsidRPr="00EF37FB">
        <w:rPr>
          <w:rFonts w:asciiTheme="majorHAnsi" w:hAnsiTheme="majorHAnsi" w:cs="Times New Roman"/>
          <w:noProof/>
        </w:rPr>
        <w:t>d</w:t>
      </w:r>
      <w:r w:rsidRPr="00EF37FB">
        <w:rPr>
          <w:rFonts w:asciiTheme="majorHAnsi" w:hAnsiTheme="majorHAnsi" w:cs="Times New Roman"/>
          <w:noProof/>
        </w:rPr>
        <w:t>wide</w:t>
      </w:r>
      <w:r w:rsidRPr="00EF37FB">
        <w:rPr>
          <w:rFonts w:asciiTheme="majorHAnsi" w:hAnsiTheme="majorHAnsi" w:cs="Times New Roman"/>
        </w:rPr>
        <w:t xml:space="preserve">, with further utilization in </w:t>
      </w:r>
      <w:r w:rsidRPr="00EF37FB">
        <w:rPr>
          <w:rFonts w:asciiTheme="majorHAnsi" w:hAnsiTheme="majorHAnsi" w:cs="Times New Roman"/>
          <w:b/>
          <w:bCs/>
          <w:i/>
          <w:iCs/>
        </w:rPr>
        <w:t xml:space="preserve">Politics; Events; </w:t>
      </w:r>
      <w:r w:rsidRPr="00EF37FB">
        <w:rPr>
          <w:rFonts w:asciiTheme="majorHAnsi" w:hAnsiTheme="majorHAnsi" w:cs="Times New Roman"/>
          <w:b/>
          <w:bCs/>
          <w:i/>
          <w:iCs/>
          <w:noProof/>
        </w:rPr>
        <w:t>Surveys</w:t>
      </w:r>
      <w:r w:rsidRPr="00EF37FB">
        <w:rPr>
          <w:rFonts w:asciiTheme="majorHAnsi" w:hAnsiTheme="majorHAnsi" w:cs="Times New Roman"/>
          <w:b/>
          <w:bCs/>
          <w:i/>
          <w:iCs/>
        </w:rPr>
        <w:t>; Market research</w:t>
      </w:r>
      <w:r w:rsidRPr="00EF37FB">
        <w:rPr>
          <w:rFonts w:asciiTheme="majorHAnsi" w:hAnsiTheme="majorHAnsi" w:cs="Times New Roman"/>
        </w:rPr>
        <w:t xml:space="preserve"> and more.</w:t>
      </w:r>
    </w:p>
    <w:p w:rsidR="00EF37FB" w:rsidRPr="00EF37FB" w:rsidRDefault="001B78B5" w:rsidP="00460C2C">
      <w:pPr>
        <w:pStyle w:val="Corpotesto"/>
        <w:numPr>
          <w:ilvl w:val="3"/>
          <w:numId w:val="19"/>
        </w:numPr>
        <w:spacing w:after="280"/>
        <w:ind w:left="360"/>
        <w:rPr>
          <w:rFonts w:asciiTheme="majorHAnsi" w:hAnsiTheme="majorHAnsi" w:cs="Times New Roman"/>
        </w:rPr>
      </w:pPr>
      <w:r w:rsidRPr="00EF37FB">
        <w:rPr>
          <w:rFonts w:asciiTheme="majorHAnsi" w:hAnsiTheme="majorHAnsi" w:cs="Times New Roman"/>
          <w:b/>
          <w:bCs/>
        </w:rPr>
        <w:t>Start Everybody Fund</w:t>
      </w:r>
      <w:r w:rsidRPr="00EF37FB">
        <w:rPr>
          <w:rFonts w:asciiTheme="majorHAnsi" w:hAnsiTheme="majorHAnsi" w:cs="Times New Roman"/>
        </w:rPr>
        <w:t xml:space="preserve">, the first </w:t>
      </w:r>
      <w:r w:rsidR="00026C04" w:rsidRPr="00EF37FB">
        <w:rPr>
          <w:rFonts w:asciiTheme="majorHAnsi" w:hAnsiTheme="majorHAnsi" w:cs="Times New Roman"/>
        </w:rPr>
        <w:t>ever</w:t>
      </w:r>
      <w:r w:rsidRPr="00EF37FB">
        <w:rPr>
          <w:rFonts w:asciiTheme="majorHAnsi" w:hAnsiTheme="majorHAnsi" w:cs="Times New Roman"/>
        </w:rPr>
        <w:t xml:space="preserve"> t</w:t>
      </w:r>
      <w:r w:rsidR="00026C04" w:rsidRPr="00EF37FB">
        <w:rPr>
          <w:rFonts w:asciiTheme="majorHAnsi" w:hAnsiTheme="majorHAnsi" w:cs="Times New Roman"/>
        </w:rPr>
        <w:t>hat is open to investors with no</w:t>
      </w:r>
      <w:r w:rsidRPr="00EF37FB">
        <w:rPr>
          <w:rFonts w:asciiTheme="majorHAnsi" w:hAnsiTheme="majorHAnsi" w:cs="Times New Roman"/>
        </w:rPr>
        <w:t> money to invest.</w:t>
      </w:r>
    </w:p>
    <w:p w:rsidR="004B110F" w:rsidRPr="00361AEA" w:rsidRDefault="00EF37FB" w:rsidP="00460C2C">
      <w:pPr>
        <w:pStyle w:val="Titolo2"/>
      </w:pPr>
      <w:r w:rsidRPr="00EF37FB">
        <w:rPr>
          <w:color w:val="018BB3"/>
          <w:sz w:val="20"/>
        </w:rPr>
        <w:lastRenderedPageBreak/>
        <w:br/>
      </w:r>
      <w:bookmarkStart w:id="35" w:name="_Toc523439992"/>
      <w:r w:rsidR="001B78B5" w:rsidRPr="003C15AA">
        <w:rPr>
          <w:rFonts w:ascii="Franklin Gothic Demi" w:eastAsia="Times New Roman" w:hAnsi="Franklin Gothic Demi" w:cs="Times New Roman"/>
          <w:b w:val="0"/>
          <w:bCs w:val="0"/>
          <w:iCs w:val="0"/>
          <w:color w:val="018BB3"/>
          <w:spacing w:val="26"/>
          <w:szCs w:val="36"/>
        </w:rPr>
        <w:t>Financial Highlights by Year</w:t>
      </w:r>
      <w:bookmarkEnd w:id="35"/>
    </w:p>
    <w:p w:rsidR="004B110F" w:rsidRDefault="005C4B26" w:rsidP="00460C2C">
      <w:pPr>
        <w:spacing w:after="280" w:afterAutospacing="1"/>
      </w:pPr>
      <w:r>
        <w:rPr>
          <w:noProof/>
          <w:lang w:val="en-US" w:eastAsia="en-US"/>
        </w:rPr>
        <w:drawing>
          <wp:inline distT="0" distB="0" distL="0" distR="0">
            <wp:extent cx="6282055" cy="4114800"/>
            <wp:effectExtent l="0" t="0" r="4445" b="0"/>
            <wp:docPr id="374" name="Picture 374" descr="C:\Users\moming\AppData\Local\Microsoft\Windows\INetCache\Content.Word\Financial Highligh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Users\moming\AppData\Local\Microsoft\Windows\INetCache\Content.Word\Financial Highlights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5075" cy="4129878"/>
                    </a:xfrm>
                    <a:prstGeom prst="rect">
                      <a:avLst/>
                    </a:prstGeom>
                    <a:noFill/>
                    <a:ln>
                      <a:noFill/>
                    </a:ln>
                  </pic:spPr>
                </pic:pic>
              </a:graphicData>
            </a:graphic>
          </wp:inline>
        </w:drawing>
      </w:r>
    </w:p>
    <w:p w:rsidR="004B110F" w:rsidRPr="003C15AA" w:rsidRDefault="001B78B5" w:rsidP="00460C2C">
      <w:pPr>
        <w:pStyle w:val="Titolo2"/>
      </w:pPr>
      <w:r>
        <w:br w:type="page"/>
      </w:r>
      <w:bookmarkStart w:id="36" w:name="_Toc256000062"/>
      <w:bookmarkStart w:id="37" w:name="_Toc256000043"/>
      <w:bookmarkStart w:id="38" w:name="_Toc256000024"/>
      <w:bookmarkStart w:id="39" w:name="_Toc256000005"/>
      <w:bookmarkStart w:id="40" w:name="_Toc523439993"/>
      <w:r w:rsidR="00361AEA" w:rsidRPr="00FB08A6">
        <w:rPr>
          <w:rFonts w:ascii="Franklin Gothic Demi" w:eastAsia="Times New Roman" w:hAnsi="Franklin Gothic Demi" w:cs="Times New Roman"/>
          <w:b w:val="0"/>
          <w:bCs w:val="0"/>
          <w:iCs w:val="0"/>
          <w:noProof/>
          <w:color w:val="018BB3"/>
          <w:spacing w:val="26"/>
          <w:szCs w:val="36"/>
          <w:lang w:val="en-US" w:eastAsia="en-US"/>
        </w:rPr>
        <w:lastRenderedPageBreak/>
        <w:drawing>
          <wp:anchor distT="0" distB="0" distL="228600" distR="228600" simplePos="0" relativeHeight="251544064" behindDoc="0" locked="0" layoutInCell="1" allowOverlap="0" wp14:anchorId="2AD4DCA0" wp14:editId="4320BF5D">
            <wp:simplePos x="0" y="0"/>
            <wp:positionH relativeFrom="column">
              <wp:posOffset>-165735</wp:posOffset>
            </wp:positionH>
            <wp:positionV relativeFrom="line">
              <wp:posOffset>534670</wp:posOffset>
            </wp:positionV>
            <wp:extent cx="6588760" cy="3990975"/>
            <wp:effectExtent l="0" t="0" r="2540" b="9525"/>
            <wp:wrapTopAndBottom/>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88760" cy="3990975"/>
                    </a:xfrm>
                    <a:prstGeom prst="rect">
                      <a:avLst/>
                    </a:prstGeom>
                    <a:noFill/>
                  </pic:spPr>
                </pic:pic>
              </a:graphicData>
            </a:graphic>
            <wp14:sizeRelH relativeFrom="margin">
              <wp14:pctWidth>0</wp14:pctWidth>
            </wp14:sizeRelH>
            <wp14:sizeRelV relativeFrom="margin">
              <wp14:pctHeight>0</wp14:pctHeight>
            </wp14:sizeRelV>
          </wp:anchor>
        </w:drawing>
      </w:r>
      <w:r w:rsidRPr="00FB08A6">
        <w:rPr>
          <w:rFonts w:ascii="Franklin Gothic Demi" w:eastAsia="Times New Roman" w:hAnsi="Franklin Gothic Demi" w:cs="Times New Roman"/>
          <w:b w:val="0"/>
          <w:bCs w:val="0"/>
          <w:iCs w:val="0"/>
          <w:color w:val="018BB3"/>
          <w:spacing w:val="26"/>
          <w:szCs w:val="36"/>
        </w:rPr>
        <w:t>Target Market</w:t>
      </w:r>
      <w:bookmarkEnd w:id="36"/>
      <w:bookmarkEnd w:id="37"/>
      <w:bookmarkEnd w:id="38"/>
      <w:bookmarkEnd w:id="39"/>
      <w:bookmarkEnd w:id="40"/>
    </w:p>
    <w:p w:rsidR="004B110F" w:rsidRPr="00361AEA" w:rsidRDefault="001B78B5" w:rsidP="00460C2C">
      <w:pPr>
        <w:pStyle w:val="Titolo2"/>
        <w:rPr>
          <w:noProof/>
          <w:lang w:val="en-US" w:eastAsia="en-US"/>
        </w:rPr>
      </w:pPr>
      <w:bookmarkStart w:id="41" w:name="_Toc523439994"/>
      <w:r w:rsidRPr="003C15AA">
        <w:rPr>
          <w:rFonts w:ascii="Franklin Gothic Demi" w:eastAsia="Times New Roman" w:hAnsi="Franklin Gothic Demi" w:cs="Times New Roman"/>
          <w:b w:val="0"/>
          <w:bCs w:val="0"/>
          <w:iCs w:val="0"/>
          <w:color w:val="018BB3"/>
          <w:spacing w:val="26"/>
          <w:szCs w:val="36"/>
        </w:rPr>
        <w:t>Market Size &amp; Segments</w:t>
      </w:r>
      <w:bookmarkEnd w:id="41"/>
    </w:p>
    <w:p w:rsidR="004B110F" w:rsidRPr="00361AEA" w:rsidRDefault="001B78B5" w:rsidP="00460C2C">
      <w:pPr>
        <w:pStyle w:val="Corpotesto"/>
        <w:spacing w:before="280" w:after="280"/>
        <w:rPr>
          <w:rFonts w:asciiTheme="majorHAnsi" w:hAnsiTheme="majorHAnsi"/>
          <w:lang w:val="en-US"/>
        </w:rPr>
      </w:pPr>
      <w:r w:rsidRPr="00361AEA">
        <w:rPr>
          <w:rFonts w:asciiTheme="majorHAnsi" w:hAnsiTheme="majorHAnsi"/>
          <w:lang w:val="en-US"/>
        </w:rPr>
        <w:t>CFX offer is directed to Standard and HNWI Investors (High Net Worth Individuals</w:t>
      </w:r>
      <w:r w:rsidR="00E5226B" w:rsidRPr="00361AEA">
        <w:rPr>
          <w:rFonts w:asciiTheme="majorHAnsi" w:hAnsiTheme="majorHAnsi"/>
          <w:lang w:val="en-US"/>
        </w:rPr>
        <w:t>) via</w:t>
      </w:r>
      <w:r w:rsidRPr="00361AEA">
        <w:rPr>
          <w:rFonts w:asciiTheme="majorHAnsi" w:hAnsiTheme="majorHAnsi"/>
          <w:lang w:val="en-US"/>
        </w:rPr>
        <w:t xml:space="preserve"> the Institutions with whom they operate via Funds subscription or account managed.</w:t>
      </w:r>
    </w:p>
    <w:p w:rsidR="0016590F" w:rsidRPr="00361AEA" w:rsidRDefault="001B78B5" w:rsidP="00460C2C">
      <w:pPr>
        <w:pStyle w:val="Corpotesto"/>
        <w:spacing w:after="280"/>
        <w:rPr>
          <w:rFonts w:asciiTheme="majorHAnsi" w:hAnsiTheme="majorHAnsi"/>
        </w:rPr>
      </w:pPr>
      <w:r w:rsidRPr="00361AEA">
        <w:rPr>
          <w:rFonts w:asciiTheme="majorHAnsi" w:hAnsiTheme="majorHAnsi"/>
        </w:rPr>
        <w:t>Europe only represents 34% of the entire market.</w:t>
      </w:r>
    </w:p>
    <w:p w:rsidR="0016590F" w:rsidRPr="001269CC" w:rsidRDefault="00361AEA" w:rsidP="00460C2C">
      <w:pPr>
        <w:pStyle w:val="Corpotesto"/>
        <w:spacing w:after="280"/>
        <w:rPr>
          <w:rFonts w:asciiTheme="majorHAnsi" w:hAnsiTheme="majorHAnsi"/>
          <w:sz w:val="28"/>
        </w:rPr>
      </w:pPr>
      <w:r w:rsidRPr="001269CC">
        <w:rPr>
          <w:rFonts w:asciiTheme="majorHAnsi" w:hAnsiTheme="majorHAnsi"/>
          <w:b/>
          <w:bCs/>
          <w:sz w:val="28"/>
        </w:rPr>
        <w:t>TYPE OF INVESTOR</w:t>
      </w:r>
    </w:p>
    <w:p w:rsidR="00361AEA" w:rsidRDefault="001B78B5" w:rsidP="00460C2C">
      <w:pPr>
        <w:pStyle w:val="Corpotesto"/>
        <w:spacing w:after="280"/>
        <w:rPr>
          <w:rFonts w:asciiTheme="majorHAnsi" w:hAnsiTheme="majorHAnsi"/>
        </w:rPr>
      </w:pPr>
      <w:r w:rsidRPr="00361AEA">
        <w:rPr>
          <w:rFonts w:asciiTheme="majorHAnsi" w:hAnsiTheme="majorHAnsi"/>
        </w:rPr>
        <w:t xml:space="preserve">CFX will approach HNWI Investors and Institutional Org (Banks and Funds). The CFX security token </w:t>
      </w:r>
      <w:r w:rsidR="00D11E20" w:rsidRPr="00361AEA">
        <w:rPr>
          <w:rFonts w:asciiTheme="majorHAnsi" w:hAnsiTheme="majorHAnsi"/>
        </w:rPr>
        <w:t xml:space="preserve">will also enable </w:t>
      </w:r>
      <w:r w:rsidRPr="00361AEA">
        <w:rPr>
          <w:rFonts w:asciiTheme="majorHAnsi" w:hAnsiTheme="majorHAnsi"/>
        </w:rPr>
        <w:t xml:space="preserve">standard investors to access results </w:t>
      </w:r>
      <w:r w:rsidR="00D11E20" w:rsidRPr="00361AEA">
        <w:rPr>
          <w:rFonts w:asciiTheme="majorHAnsi" w:hAnsiTheme="majorHAnsi"/>
        </w:rPr>
        <w:t xml:space="preserve">normally only </w:t>
      </w:r>
      <w:r w:rsidRPr="00361AEA">
        <w:rPr>
          <w:rFonts w:asciiTheme="majorHAnsi" w:hAnsiTheme="majorHAnsi"/>
        </w:rPr>
        <w:t>available to top</w:t>
      </w:r>
      <w:r w:rsidR="00361AEA" w:rsidRPr="00361AEA">
        <w:rPr>
          <w:rFonts w:asciiTheme="majorHAnsi" w:hAnsiTheme="majorHAnsi"/>
        </w:rPr>
        <w:t xml:space="preserve"> </w:t>
      </w:r>
      <w:r w:rsidRPr="00361AEA">
        <w:rPr>
          <w:rFonts w:asciiTheme="majorHAnsi" w:hAnsiTheme="majorHAnsi"/>
        </w:rPr>
        <w:t>investors and financial institutions.</w:t>
      </w:r>
    </w:p>
    <w:p w:rsidR="0016590F" w:rsidRPr="003C15AA" w:rsidRDefault="003C15AA" w:rsidP="00460C2C">
      <w:pPr>
        <w:pStyle w:val="Titolo2"/>
        <w:rPr>
          <w:rFonts w:ascii="Franklin Gothic Demi" w:eastAsia="Times New Roman" w:hAnsi="Franklin Gothic Demi" w:cs="Times New Roman"/>
          <w:b w:val="0"/>
          <w:bCs w:val="0"/>
          <w:iCs w:val="0"/>
          <w:color w:val="018BB3"/>
          <w:spacing w:val="26"/>
          <w:szCs w:val="36"/>
        </w:rPr>
      </w:pPr>
      <w:r>
        <w:rPr>
          <w:rFonts w:ascii="Franklin Gothic Demi" w:eastAsia="Times New Roman" w:hAnsi="Franklin Gothic Demi" w:cs="Times New Roman"/>
          <w:b w:val="0"/>
          <w:bCs w:val="0"/>
          <w:iCs w:val="0"/>
          <w:color w:val="018BB3"/>
          <w:spacing w:val="26"/>
          <w:szCs w:val="36"/>
        </w:rPr>
        <w:lastRenderedPageBreak/>
        <w:br/>
      </w:r>
      <w:bookmarkStart w:id="42" w:name="_Toc523439995"/>
      <w:r w:rsidR="004D07AB" w:rsidRPr="003C15AA">
        <w:rPr>
          <w:rFonts w:ascii="Franklin Gothic Demi" w:eastAsia="Times New Roman" w:hAnsi="Franklin Gothic Demi" w:cs="Times New Roman"/>
          <w:b w:val="0"/>
          <w:bCs w:val="0"/>
          <w:iCs w:val="0"/>
          <w:noProof/>
          <w:color w:val="018BB3"/>
          <w:spacing w:val="26"/>
          <w:szCs w:val="36"/>
          <w:lang w:val="en-US" w:eastAsia="en-US"/>
        </w:rPr>
        <w:drawing>
          <wp:anchor distT="0" distB="0" distL="228600" distR="228600" simplePos="0" relativeHeight="251748864" behindDoc="0" locked="0" layoutInCell="1" allowOverlap="0" wp14:anchorId="36E420F5" wp14:editId="68D13B08">
            <wp:simplePos x="0" y="0"/>
            <wp:positionH relativeFrom="margin">
              <wp:posOffset>-104775</wp:posOffset>
            </wp:positionH>
            <wp:positionV relativeFrom="line">
              <wp:posOffset>463389</wp:posOffset>
            </wp:positionV>
            <wp:extent cx="6143625" cy="3667125"/>
            <wp:effectExtent l="0" t="0" r="0" b="0"/>
            <wp:wrapNone/>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t="8768"/>
                    <a:stretch>
                      <a:fillRect/>
                    </a:stretch>
                  </pic:blipFill>
                  <pic:spPr bwMode="auto">
                    <a:xfrm>
                      <a:off x="0" y="0"/>
                      <a:ext cx="6143625" cy="3667125"/>
                    </a:xfrm>
                    <a:prstGeom prst="rect">
                      <a:avLst/>
                    </a:prstGeom>
                    <a:noFill/>
                  </pic:spPr>
                </pic:pic>
              </a:graphicData>
            </a:graphic>
          </wp:anchor>
        </w:drawing>
      </w:r>
      <w:r w:rsidR="004D07AB" w:rsidRPr="003C15AA">
        <w:rPr>
          <w:rFonts w:ascii="Franklin Gothic Demi" w:eastAsia="Times New Roman" w:hAnsi="Franklin Gothic Demi" w:cs="Times New Roman"/>
          <w:b w:val="0"/>
          <w:bCs w:val="0"/>
          <w:iCs w:val="0"/>
          <w:color w:val="018BB3"/>
          <w:spacing w:val="26"/>
          <w:szCs w:val="36"/>
        </w:rPr>
        <w:t>Funds raised by type of investor</w:t>
      </w:r>
      <w:bookmarkEnd w:id="42"/>
      <w:r w:rsidR="004D07AB" w:rsidRPr="003C15AA">
        <w:rPr>
          <w:rFonts w:ascii="Franklin Gothic Demi" w:eastAsia="Times New Roman" w:hAnsi="Franklin Gothic Demi" w:cs="Times New Roman"/>
          <w:b w:val="0"/>
          <w:bCs w:val="0"/>
          <w:iCs w:val="0"/>
          <w:color w:val="018BB3"/>
          <w:spacing w:val="26"/>
          <w:szCs w:val="36"/>
        </w:rPr>
        <w:t xml:space="preserve"> </w:t>
      </w:r>
    </w:p>
    <w:p w:rsidR="00361AEA" w:rsidRDefault="00361AEA" w:rsidP="00460C2C">
      <w:pPr>
        <w:pStyle w:val="Corpotesto"/>
        <w:spacing w:after="280"/>
      </w:pPr>
    </w:p>
    <w:p w:rsidR="00361AEA" w:rsidRDefault="00361AEA" w:rsidP="00460C2C">
      <w:pPr>
        <w:pStyle w:val="Corpotesto"/>
        <w:spacing w:after="280"/>
      </w:pPr>
    </w:p>
    <w:p w:rsidR="00361AEA" w:rsidRDefault="00361AEA" w:rsidP="00460C2C">
      <w:pPr>
        <w:pStyle w:val="Corpotesto"/>
        <w:spacing w:after="280"/>
      </w:pPr>
    </w:p>
    <w:p w:rsidR="00361AEA" w:rsidRDefault="00361AEA" w:rsidP="00460C2C">
      <w:pPr>
        <w:pStyle w:val="Corpotesto"/>
        <w:spacing w:after="280"/>
      </w:pPr>
    </w:p>
    <w:p w:rsidR="00361AEA" w:rsidRDefault="00361AEA" w:rsidP="00460C2C">
      <w:pPr>
        <w:pStyle w:val="Corpotesto"/>
        <w:spacing w:after="280"/>
      </w:pPr>
    </w:p>
    <w:p w:rsidR="004D07AB" w:rsidRDefault="004D07AB" w:rsidP="00460C2C">
      <w:pPr>
        <w:pStyle w:val="Corpotesto"/>
        <w:spacing w:after="280"/>
      </w:pPr>
    </w:p>
    <w:p w:rsidR="004D07AB" w:rsidRDefault="004D07AB" w:rsidP="00460C2C">
      <w:pPr>
        <w:pStyle w:val="Corpotesto"/>
        <w:spacing w:after="280"/>
      </w:pPr>
    </w:p>
    <w:p w:rsidR="004D07AB" w:rsidRDefault="004D07AB" w:rsidP="00460C2C">
      <w:pPr>
        <w:pStyle w:val="Corpotesto"/>
        <w:spacing w:after="280"/>
      </w:pPr>
    </w:p>
    <w:p w:rsidR="004D07AB" w:rsidRDefault="004D07AB" w:rsidP="00460C2C">
      <w:pPr>
        <w:pStyle w:val="Corpotesto"/>
        <w:spacing w:after="280"/>
      </w:pPr>
    </w:p>
    <w:p w:rsidR="004D07AB" w:rsidRPr="00361AEA" w:rsidRDefault="004D07AB" w:rsidP="00460C2C">
      <w:pPr>
        <w:pStyle w:val="Corpotesto"/>
        <w:spacing w:after="280"/>
      </w:pPr>
    </w:p>
    <w:p w:rsidR="00B50DB3" w:rsidRDefault="00B50DB3" w:rsidP="00672893">
      <w:pPr>
        <w:pStyle w:val="Corpotesto"/>
        <w:spacing w:before="100" w:after="100"/>
      </w:pPr>
    </w:p>
    <w:p w:rsidR="004D07AB" w:rsidRPr="004D07AB" w:rsidRDefault="001B78B5" w:rsidP="00460C2C">
      <w:pPr>
        <w:pStyle w:val="Corpotesto"/>
        <w:spacing w:after="280"/>
        <w:rPr>
          <w:rFonts w:asciiTheme="majorHAnsi" w:hAnsiTheme="majorHAnsi"/>
        </w:rPr>
      </w:pPr>
      <w:r w:rsidRPr="004D07AB">
        <w:rPr>
          <w:rFonts w:asciiTheme="majorHAnsi" w:hAnsiTheme="majorHAnsi"/>
        </w:rPr>
        <w:t>CFX</w:t>
      </w:r>
      <w:r w:rsidR="00D11E20" w:rsidRPr="004D07AB">
        <w:rPr>
          <w:rFonts w:asciiTheme="majorHAnsi" w:hAnsiTheme="majorHAnsi"/>
        </w:rPr>
        <w:t>’s m</w:t>
      </w:r>
      <w:r w:rsidRPr="004D07AB">
        <w:rPr>
          <w:rFonts w:asciiTheme="majorHAnsi" w:hAnsiTheme="majorHAnsi"/>
        </w:rPr>
        <w:t>arket is represented mainly by private investors who typically choose UCITS (</w:t>
      </w:r>
      <w:r w:rsidRPr="004D07AB">
        <w:rPr>
          <w:rFonts w:asciiTheme="majorHAnsi" w:hAnsiTheme="majorHAnsi"/>
          <w:i/>
          <w:iCs/>
        </w:rPr>
        <w:t xml:space="preserve">Undertakings for Collective Investments in Transferable Securities) </w:t>
      </w:r>
      <w:r w:rsidRPr="004D07AB">
        <w:rPr>
          <w:rFonts w:asciiTheme="majorHAnsi" w:hAnsiTheme="majorHAnsi"/>
        </w:rPr>
        <w:t>or AIF (</w:t>
      </w:r>
      <w:r w:rsidRPr="004D07AB">
        <w:rPr>
          <w:rFonts w:asciiTheme="majorHAnsi" w:hAnsiTheme="majorHAnsi"/>
          <w:i/>
          <w:iCs/>
        </w:rPr>
        <w:t>Alternative Investment Funds</w:t>
      </w:r>
      <w:r w:rsidRPr="004D07AB">
        <w:rPr>
          <w:rFonts w:asciiTheme="majorHAnsi" w:hAnsiTheme="majorHAnsi"/>
        </w:rPr>
        <w:t xml:space="preserve">). </w:t>
      </w:r>
      <w:r w:rsidRPr="005C456C">
        <w:rPr>
          <w:rFonts w:asciiTheme="majorHAnsi" w:hAnsiTheme="majorHAnsi"/>
          <w:noProof/>
        </w:rPr>
        <w:t>Mille</w:t>
      </w:r>
      <w:r w:rsidR="005C456C">
        <w:rPr>
          <w:rFonts w:asciiTheme="majorHAnsi" w:hAnsiTheme="majorHAnsi"/>
          <w:noProof/>
        </w:rPr>
        <w:t>n</w:t>
      </w:r>
      <w:r w:rsidRPr="005C456C">
        <w:rPr>
          <w:rFonts w:asciiTheme="majorHAnsi" w:hAnsiTheme="majorHAnsi"/>
          <w:noProof/>
        </w:rPr>
        <w:t>nials</w:t>
      </w:r>
      <w:r w:rsidRPr="004D07AB">
        <w:rPr>
          <w:rFonts w:asciiTheme="majorHAnsi" w:hAnsiTheme="majorHAnsi"/>
        </w:rPr>
        <w:t xml:space="preserve"> are</w:t>
      </w:r>
      <w:r w:rsidR="00D11E20" w:rsidRPr="004D07AB">
        <w:rPr>
          <w:rFonts w:asciiTheme="majorHAnsi" w:hAnsiTheme="majorHAnsi"/>
        </w:rPr>
        <w:t xml:space="preserve"> also a key</w:t>
      </w:r>
      <w:r w:rsidRPr="004D07AB">
        <w:rPr>
          <w:rFonts w:asciiTheme="majorHAnsi" w:hAnsiTheme="majorHAnsi"/>
        </w:rPr>
        <w:t xml:space="preserve"> target for CFX as they represent the best guarantee for the future growth of the company.</w:t>
      </w:r>
    </w:p>
    <w:p w:rsidR="004D07AB" w:rsidRPr="004D07AB" w:rsidRDefault="00D11E20" w:rsidP="00460C2C">
      <w:pPr>
        <w:pStyle w:val="Corpotesto"/>
        <w:spacing w:after="280"/>
        <w:rPr>
          <w:rFonts w:asciiTheme="majorHAnsi" w:hAnsiTheme="majorHAnsi"/>
        </w:rPr>
      </w:pPr>
      <w:r w:rsidRPr="004D07AB">
        <w:rPr>
          <w:rFonts w:asciiTheme="majorHAnsi" w:hAnsiTheme="majorHAnsi"/>
        </w:rPr>
        <w:t>The market, however, is dominated</w:t>
      </w:r>
      <w:r w:rsidR="001B78B5" w:rsidRPr="004D07AB">
        <w:rPr>
          <w:rFonts w:asciiTheme="majorHAnsi" w:hAnsiTheme="majorHAnsi"/>
        </w:rPr>
        <w:t xml:space="preserve"> by institutional investors, represented by Banks, Funds, and Private Equi</w:t>
      </w:r>
      <w:r w:rsidRPr="004D07AB">
        <w:rPr>
          <w:rFonts w:asciiTheme="majorHAnsi" w:hAnsiTheme="majorHAnsi"/>
        </w:rPr>
        <w:t>ty Management companies that would be willing to utilize CFX.</w:t>
      </w:r>
    </w:p>
    <w:p w:rsidR="004D07AB" w:rsidRDefault="00A436EE" w:rsidP="00460C2C">
      <w:pPr>
        <w:pStyle w:val="Corpotesto"/>
        <w:spacing w:after="280"/>
        <w:rPr>
          <w:rFonts w:asciiTheme="majorHAnsi" w:hAnsiTheme="majorHAnsi"/>
        </w:rPr>
      </w:pPr>
      <w:r w:rsidRPr="004D07AB">
        <w:rPr>
          <w:rFonts w:asciiTheme="majorHAnsi" w:hAnsiTheme="majorHAnsi"/>
        </w:rPr>
        <w:t xml:space="preserve">Net sales in </w:t>
      </w:r>
      <w:r w:rsidRPr="004D07AB">
        <w:rPr>
          <w:rFonts w:asciiTheme="majorHAnsi" w:hAnsiTheme="majorHAnsi"/>
          <w:noProof/>
        </w:rPr>
        <w:t>Europe of</w:t>
      </w:r>
      <w:r w:rsidRPr="004D07AB">
        <w:rPr>
          <w:rFonts w:asciiTheme="majorHAnsi" w:hAnsiTheme="majorHAnsi"/>
        </w:rPr>
        <w:t xml:space="preserve"> UCITS and AIFs recorded net inflows of EUR 222 billion in Q1 </w:t>
      </w:r>
      <w:r w:rsidR="004D07AB" w:rsidRPr="004D07AB">
        <w:rPr>
          <w:rFonts w:asciiTheme="majorHAnsi" w:hAnsiTheme="majorHAnsi"/>
        </w:rPr>
        <w:t>2018, compared to EUR 189 billion in the last quarter of 2017.</w:t>
      </w:r>
    </w:p>
    <w:p w:rsidR="00E9121A" w:rsidRPr="004D07AB" w:rsidRDefault="005C4B26" w:rsidP="00206D79">
      <w:pPr>
        <w:pStyle w:val="Corpotesto"/>
        <w:spacing w:after="280"/>
        <w:jc w:val="center"/>
        <w:rPr>
          <w:rFonts w:asciiTheme="majorHAnsi" w:hAnsiTheme="majorHAnsi"/>
        </w:rPr>
      </w:pPr>
      <w:r>
        <w:rPr>
          <w:noProof/>
          <w:lang w:val="en-US" w:eastAsia="en-US"/>
        </w:rPr>
        <w:lastRenderedPageBreak/>
        <w:drawing>
          <wp:inline distT="0" distB="0" distL="0" distR="0">
            <wp:extent cx="6394676" cy="4223657"/>
            <wp:effectExtent l="0" t="0" r="0" b="0"/>
            <wp:docPr id="368" name="Picture 368" descr="C:\Users\moming\AppData\Local\Microsoft\Windows\INetCache\Content.Word\NEt_Sales_UCITS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C:\Users\moming\AppData\Local\Microsoft\Windows\INetCache\Content.Word\NEt_Sales_UCITS_transpar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l="6250" t="40340" r="7211" b="2559"/>
                    <a:stretch>
                      <a:fillRect/>
                    </a:stretch>
                  </pic:blipFill>
                  <pic:spPr bwMode="auto">
                    <a:xfrm>
                      <a:off x="0" y="0"/>
                      <a:ext cx="6400130" cy="4227259"/>
                    </a:xfrm>
                    <a:prstGeom prst="rect">
                      <a:avLst/>
                    </a:prstGeom>
                    <a:noFill/>
                    <a:ln>
                      <a:noFill/>
                    </a:ln>
                  </pic:spPr>
                </pic:pic>
              </a:graphicData>
            </a:graphic>
          </wp:inline>
        </w:drawing>
      </w:r>
    </w:p>
    <w:p w:rsidR="0016590F" w:rsidRPr="003C15AA" w:rsidRDefault="001B78B5" w:rsidP="00460C2C">
      <w:pPr>
        <w:pStyle w:val="Titolo2"/>
        <w:rPr>
          <w:rFonts w:ascii="Franklin Gothic Demi" w:eastAsia="Times New Roman" w:hAnsi="Franklin Gothic Demi" w:cs="Times New Roman"/>
          <w:b w:val="0"/>
          <w:bCs w:val="0"/>
          <w:iCs w:val="0"/>
          <w:color w:val="018BB3"/>
          <w:spacing w:val="26"/>
          <w:szCs w:val="36"/>
        </w:rPr>
      </w:pPr>
      <w:bookmarkStart w:id="43" w:name="_Toc523439996"/>
      <w:r w:rsidRPr="003C15AA">
        <w:rPr>
          <w:rFonts w:ascii="Franklin Gothic Demi" w:eastAsia="Times New Roman" w:hAnsi="Franklin Gothic Demi" w:cs="Times New Roman"/>
          <w:b w:val="0"/>
          <w:bCs w:val="0"/>
          <w:iCs w:val="0"/>
          <w:color w:val="018BB3"/>
          <w:spacing w:val="26"/>
          <w:szCs w:val="36"/>
        </w:rPr>
        <w:t>Market Trends</w:t>
      </w:r>
      <w:bookmarkEnd w:id="43"/>
    </w:p>
    <w:p w:rsidR="004B110F" w:rsidRPr="001269CC" w:rsidRDefault="004D07AB" w:rsidP="00460C2C">
      <w:pPr>
        <w:pStyle w:val="Titolo3"/>
        <w:spacing w:after="280"/>
        <w:rPr>
          <w:rFonts w:asciiTheme="majorHAnsi" w:hAnsiTheme="majorHAnsi"/>
          <w:szCs w:val="24"/>
        </w:rPr>
      </w:pPr>
      <w:r w:rsidRPr="001269CC">
        <w:rPr>
          <w:rFonts w:asciiTheme="majorHAnsi" w:hAnsiTheme="majorHAnsi"/>
          <w:szCs w:val="24"/>
        </w:rPr>
        <w:t>MARKET GROWTH</w:t>
      </w:r>
    </w:p>
    <w:p w:rsidR="001511CC" w:rsidRPr="00514E99" w:rsidRDefault="001B78B5" w:rsidP="00460C2C">
      <w:pPr>
        <w:pStyle w:val="Corpotesto"/>
        <w:spacing w:after="280"/>
        <w:rPr>
          <w:rFonts w:asciiTheme="majorHAnsi" w:hAnsiTheme="majorHAnsi" w:cs="Times New Roman"/>
        </w:rPr>
      </w:pPr>
      <w:r w:rsidRPr="001511CC">
        <w:rPr>
          <w:rFonts w:asciiTheme="majorHAnsi" w:hAnsiTheme="majorHAnsi" w:cs="Times New Roman"/>
        </w:rPr>
        <w:t xml:space="preserve">Assets and inflows to European investment funds broke records </w:t>
      </w:r>
      <w:r w:rsidR="00A436EE" w:rsidRPr="001511CC">
        <w:rPr>
          <w:rFonts w:asciiTheme="majorHAnsi" w:hAnsiTheme="majorHAnsi" w:cs="Times New Roman"/>
        </w:rPr>
        <w:t>in 2017</w:t>
      </w:r>
      <w:r w:rsidRPr="001511CC">
        <w:rPr>
          <w:rFonts w:asciiTheme="majorHAnsi" w:hAnsiTheme="majorHAnsi" w:cs="Times New Roman"/>
        </w:rPr>
        <w:t xml:space="preserve"> as the bull market continued in fixed income and equities. European fund assets hit a record €15.6trillion in 2017, </w:t>
      </w:r>
      <w:r w:rsidR="00A436EE" w:rsidRPr="001511CC">
        <w:rPr>
          <w:rFonts w:asciiTheme="majorHAnsi" w:hAnsiTheme="majorHAnsi" w:cs="Times New Roman"/>
        </w:rPr>
        <w:t>according to statistics from the</w:t>
      </w:r>
      <w:r w:rsidRPr="001511CC">
        <w:rPr>
          <w:rFonts w:asciiTheme="majorHAnsi" w:hAnsiTheme="majorHAnsi" w:cs="Times New Roman"/>
        </w:rPr>
        <w:t xml:space="preserve"> European Fund and A</w:t>
      </w:r>
      <w:r w:rsidR="00A436EE" w:rsidRPr="001511CC">
        <w:rPr>
          <w:rFonts w:asciiTheme="majorHAnsi" w:hAnsiTheme="majorHAnsi" w:cs="Times New Roman"/>
        </w:rPr>
        <w:t xml:space="preserve">sset Management Association. </w:t>
      </w:r>
    </w:p>
    <w:p w:rsidR="0016590F" w:rsidRPr="00CD3B5E" w:rsidRDefault="00A436EE" w:rsidP="00460C2C">
      <w:pPr>
        <w:pStyle w:val="Corpotesto"/>
        <w:spacing w:after="280"/>
        <w:rPr>
          <w:rFonts w:cs="Times New Roman"/>
        </w:rPr>
      </w:pPr>
      <w:r w:rsidRPr="001511CC">
        <w:rPr>
          <w:rFonts w:asciiTheme="majorHAnsi" w:hAnsiTheme="majorHAnsi" w:cs="Times New Roman"/>
        </w:rPr>
        <w:t>M</w:t>
      </w:r>
      <w:r w:rsidR="001B78B5" w:rsidRPr="001511CC">
        <w:rPr>
          <w:rFonts w:asciiTheme="majorHAnsi" w:hAnsiTheme="majorHAnsi" w:cs="Times New Roman"/>
        </w:rPr>
        <w:t xml:space="preserve">ore than </w:t>
      </w:r>
      <w:r w:rsidR="001B78B5" w:rsidRPr="005C456C">
        <w:rPr>
          <w:rFonts w:asciiTheme="majorHAnsi" w:hAnsiTheme="majorHAnsi" w:cs="Times New Roman"/>
          <w:noProof/>
        </w:rPr>
        <w:t>three</w:t>
      </w:r>
      <w:r w:rsidR="005C456C">
        <w:rPr>
          <w:rFonts w:asciiTheme="majorHAnsi" w:hAnsiTheme="majorHAnsi" w:cs="Times New Roman"/>
          <w:noProof/>
        </w:rPr>
        <w:t>-</w:t>
      </w:r>
      <w:r w:rsidR="001B78B5" w:rsidRPr="005C456C">
        <w:rPr>
          <w:rFonts w:asciiTheme="majorHAnsi" w:hAnsiTheme="majorHAnsi" w:cs="Times New Roman"/>
          <w:noProof/>
        </w:rPr>
        <w:t>quarters</w:t>
      </w:r>
      <w:r w:rsidR="00272F82" w:rsidRPr="001511CC">
        <w:rPr>
          <w:rFonts w:asciiTheme="majorHAnsi" w:hAnsiTheme="majorHAnsi" w:cs="Times New Roman"/>
        </w:rPr>
        <w:t xml:space="preserve"> of</w:t>
      </w:r>
      <w:r w:rsidR="001B78B5" w:rsidRPr="001511CC">
        <w:rPr>
          <w:rFonts w:asciiTheme="majorHAnsi" w:hAnsiTheme="majorHAnsi" w:cs="Times New Roman"/>
        </w:rPr>
        <w:t xml:space="preserve"> $1</w:t>
      </w:r>
      <w:r w:rsidR="00514E99">
        <w:rPr>
          <w:rFonts w:asciiTheme="majorHAnsi" w:hAnsiTheme="majorHAnsi" w:cs="Times New Roman"/>
        </w:rPr>
        <w:t xml:space="preserve"> </w:t>
      </w:r>
      <w:r w:rsidR="001B78B5" w:rsidRPr="001511CC">
        <w:rPr>
          <w:rFonts w:asciiTheme="majorHAnsi" w:hAnsiTheme="majorHAnsi" w:cs="Times New Roman"/>
        </w:rPr>
        <w:t xml:space="preserve">trillion </w:t>
      </w:r>
      <w:r w:rsidR="00272F82" w:rsidRPr="001511CC">
        <w:rPr>
          <w:rFonts w:asciiTheme="majorHAnsi" w:hAnsiTheme="majorHAnsi" w:cs="Times New Roman"/>
        </w:rPr>
        <w:t xml:space="preserve">of </w:t>
      </w:r>
      <w:r w:rsidR="001B78B5" w:rsidRPr="001511CC">
        <w:rPr>
          <w:rFonts w:asciiTheme="majorHAnsi" w:hAnsiTheme="majorHAnsi" w:cs="Times New Roman"/>
        </w:rPr>
        <w:t>inflows </w:t>
      </w:r>
      <w:r w:rsidR="001B78B5" w:rsidRPr="001511CC">
        <w:rPr>
          <w:rFonts w:asciiTheme="majorHAnsi" w:hAnsiTheme="majorHAnsi" w:cs="Times New Roman"/>
          <w:noProof/>
        </w:rPr>
        <w:t>was</w:t>
      </w:r>
      <w:r w:rsidR="001B78B5" w:rsidRPr="001511CC">
        <w:rPr>
          <w:rFonts w:asciiTheme="majorHAnsi" w:hAnsiTheme="majorHAnsi" w:cs="Times New Roman"/>
        </w:rPr>
        <w:t xml:space="preserve"> raised just for Ucits funds</w:t>
      </w:r>
      <w:r w:rsidRPr="001511CC">
        <w:rPr>
          <w:rFonts w:asciiTheme="majorHAnsi" w:hAnsiTheme="majorHAnsi" w:cs="Times New Roman"/>
        </w:rPr>
        <w:t>.</w:t>
      </w:r>
      <w:r w:rsidR="001511CC" w:rsidRPr="001511CC">
        <w:rPr>
          <w:b/>
          <w:bCs/>
          <w:noProof/>
          <w:lang w:val="en-US" w:eastAsia="en-US"/>
        </w:rPr>
        <w:t xml:space="preserve"> </w:t>
      </w:r>
    </w:p>
    <w:p w:rsidR="004D07AB" w:rsidRDefault="00B43C82" w:rsidP="00460C2C">
      <w:pPr>
        <w:pStyle w:val="Corpotesto"/>
        <w:spacing w:after="280"/>
        <w:rPr>
          <w:b/>
          <w:bCs/>
        </w:rPr>
      </w:pPr>
      <w:r>
        <w:rPr>
          <w:b/>
          <w:bCs/>
        </w:rPr>
        <w:br/>
      </w:r>
    </w:p>
    <w:p w:rsidR="003A4B95" w:rsidRDefault="003A4B95" w:rsidP="00460C2C">
      <w:pPr>
        <w:pStyle w:val="Corpotesto"/>
        <w:spacing w:after="280"/>
        <w:rPr>
          <w:b/>
          <w:bCs/>
        </w:rPr>
      </w:pPr>
    </w:p>
    <w:p w:rsidR="001511CC" w:rsidRDefault="00E9121A" w:rsidP="00206D79">
      <w:pPr>
        <w:jc w:val="center"/>
        <w:rPr>
          <w:rFonts w:ascii="Palatino Linotype" w:eastAsia="Palatino Linotype" w:hAnsi="Palatino Linotype" w:cs="Palatino Linotype"/>
          <w:b/>
          <w:bCs/>
          <w:color w:val="000000"/>
        </w:rPr>
      </w:pPr>
      <w:r>
        <w:rPr>
          <w:b/>
          <w:bCs/>
          <w:noProof/>
          <w:lang w:val="en-US" w:eastAsia="en-US"/>
        </w:rPr>
        <w:lastRenderedPageBreak/>
        <w:drawing>
          <wp:inline distT="0" distB="0" distL="0" distR="0">
            <wp:extent cx="6441670" cy="4209143"/>
            <wp:effectExtent l="0" t="0" r="0" b="127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58215" cy="4219954"/>
                    </a:xfrm>
                    <a:prstGeom prst="rect">
                      <a:avLst/>
                    </a:prstGeom>
                    <a:noFill/>
                  </pic:spPr>
                </pic:pic>
              </a:graphicData>
            </a:graphic>
          </wp:inline>
        </w:drawing>
      </w:r>
    </w:p>
    <w:p w:rsidR="0016590F" w:rsidRPr="001269CC" w:rsidRDefault="001511CC" w:rsidP="00460C2C">
      <w:pPr>
        <w:pStyle w:val="Corpotesto"/>
        <w:spacing w:after="280"/>
        <w:rPr>
          <w:rFonts w:asciiTheme="majorHAnsi" w:hAnsiTheme="majorHAnsi"/>
          <w:b/>
          <w:bCs/>
          <w:sz w:val="28"/>
        </w:rPr>
      </w:pPr>
      <w:r w:rsidRPr="00514E99">
        <w:rPr>
          <w:rFonts w:asciiTheme="majorHAnsi" w:hAnsiTheme="majorHAnsi"/>
          <w:b/>
          <w:bCs/>
          <w:noProof/>
          <w:sz w:val="28"/>
        </w:rPr>
        <w:t>PERFORMANCE</w:t>
      </w:r>
    </w:p>
    <w:p w:rsidR="001277DE" w:rsidRPr="00991BEC" w:rsidRDefault="001277DE" w:rsidP="00206D79">
      <w:pPr>
        <w:pStyle w:val="Corpotesto"/>
        <w:spacing w:after="280"/>
        <w:jc w:val="center"/>
        <w:rPr>
          <w:rFonts w:asciiTheme="majorHAnsi" w:hAnsiTheme="majorHAnsi"/>
        </w:rPr>
      </w:pPr>
      <w:r w:rsidRPr="00991BEC">
        <w:rPr>
          <w:rFonts w:asciiTheme="majorHAnsi" w:hAnsiTheme="majorHAnsi"/>
          <w:b/>
        </w:rPr>
        <w:t>5-year performance of European funds in a medium-long term</w:t>
      </w:r>
      <w:r w:rsidRPr="00991BEC">
        <w:rPr>
          <w:rFonts w:asciiTheme="majorHAnsi" w:hAnsiTheme="majorHAnsi"/>
          <w:b/>
        </w:rPr>
        <w:br/>
      </w:r>
      <w:r w:rsidRPr="00991BEC">
        <w:rPr>
          <w:rFonts w:asciiTheme="majorHAnsi" w:hAnsiTheme="majorHAnsi"/>
          <w:noProof/>
          <w:lang w:val="en-US" w:eastAsia="en-US"/>
        </w:rPr>
        <w:drawing>
          <wp:anchor distT="0" distB="0" distL="228600" distR="228600" simplePos="0" relativeHeight="251590144" behindDoc="1" locked="0" layoutInCell="1" allowOverlap="0">
            <wp:simplePos x="0" y="0"/>
            <wp:positionH relativeFrom="column">
              <wp:posOffset>1514475</wp:posOffset>
            </wp:positionH>
            <wp:positionV relativeFrom="line">
              <wp:posOffset>321310</wp:posOffset>
            </wp:positionV>
            <wp:extent cx="2895600" cy="2171700"/>
            <wp:effectExtent l="19050" t="19050" r="0"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solidFill>
                        <a:schemeClr val="tx1">
                          <a:alpha val="95000"/>
                        </a:schemeClr>
                      </a:solidFill>
                    </a:ln>
                  </pic:spPr>
                </pic:pic>
              </a:graphicData>
            </a:graphic>
            <wp14:sizeRelH relativeFrom="margin">
              <wp14:pctWidth>0</wp14:pctWidth>
            </wp14:sizeRelH>
            <wp14:sizeRelV relativeFrom="margin">
              <wp14:pctHeight>0</wp14:pctHeight>
            </wp14:sizeRelV>
          </wp:anchor>
        </w:drawing>
      </w:r>
      <w:hyperlink r:id="rId29" w:history="1">
        <w:r w:rsidRPr="00991BEC">
          <w:rPr>
            <w:rStyle w:val="Collegamentoipertestuale"/>
            <w:rFonts w:asciiTheme="majorHAnsi" w:hAnsiTheme="majorHAnsi"/>
          </w:rPr>
          <w:t>www.hl.co.uk/funds/research-and-news/fund-sectors/europe</w:t>
        </w:r>
      </w:hyperlink>
    </w:p>
    <w:p w:rsidR="001277DE" w:rsidRDefault="001277DE" w:rsidP="00460C2C">
      <w:pPr>
        <w:pStyle w:val="Corpotesto"/>
        <w:spacing w:after="280"/>
      </w:pPr>
      <w:r w:rsidRPr="00A436EE">
        <w:rPr>
          <w:b/>
        </w:rPr>
        <w:br/>
      </w:r>
    </w:p>
    <w:p w:rsidR="001511CC" w:rsidRDefault="001511CC" w:rsidP="00460C2C">
      <w:pPr>
        <w:pStyle w:val="Corpotesto"/>
        <w:spacing w:after="280"/>
        <w:rPr>
          <w:b/>
        </w:rPr>
      </w:pPr>
    </w:p>
    <w:p w:rsidR="001511CC" w:rsidRDefault="001511CC" w:rsidP="00460C2C">
      <w:pPr>
        <w:pStyle w:val="Corpotesto"/>
        <w:spacing w:after="280"/>
        <w:rPr>
          <w:b/>
        </w:rPr>
      </w:pPr>
    </w:p>
    <w:p w:rsidR="001511CC" w:rsidRDefault="001511CC" w:rsidP="00460C2C">
      <w:pPr>
        <w:pStyle w:val="Corpotesto"/>
        <w:spacing w:after="280"/>
        <w:rPr>
          <w:b/>
        </w:rPr>
      </w:pPr>
    </w:p>
    <w:p w:rsidR="003A4B95" w:rsidRDefault="003A4B95" w:rsidP="00460C2C">
      <w:pPr>
        <w:pStyle w:val="Corpotesto"/>
        <w:spacing w:after="280"/>
        <w:rPr>
          <w:rFonts w:asciiTheme="majorHAnsi" w:hAnsiTheme="majorHAnsi"/>
        </w:rPr>
      </w:pPr>
    </w:p>
    <w:p w:rsidR="0016590F" w:rsidRDefault="001B78B5" w:rsidP="00460C2C">
      <w:pPr>
        <w:pStyle w:val="Corpotesto"/>
        <w:spacing w:after="280"/>
        <w:rPr>
          <w:rFonts w:asciiTheme="majorHAnsi" w:hAnsiTheme="majorHAnsi"/>
        </w:rPr>
      </w:pPr>
      <w:r w:rsidRPr="009C4B7A">
        <w:rPr>
          <w:rFonts w:asciiTheme="majorHAnsi" w:hAnsiTheme="majorHAnsi"/>
        </w:rPr>
        <w:lastRenderedPageBreak/>
        <w:t xml:space="preserve">During </w:t>
      </w:r>
      <w:r w:rsidR="00272F82" w:rsidRPr="009C4B7A">
        <w:rPr>
          <w:rFonts w:asciiTheme="majorHAnsi" w:hAnsiTheme="majorHAnsi"/>
        </w:rPr>
        <w:t xml:space="preserve">the </w:t>
      </w:r>
      <w:r w:rsidRPr="009C4B7A">
        <w:rPr>
          <w:rFonts w:asciiTheme="majorHAnsi" w:hAnsiTheme="majorHAnsi"/>
          <w:noProof/>
        </w:rPr>
        <w:t>last</w:t>
      </w:r>
      <w:r w:rsidRPr="009C4B7A">
        <w:rPr>
          <w:rFonts w:asciiTheme="majorHAnsi" w:hAnsiTheme="majorHAnsi"/>
        </w:rPr>
        <w:t xml:space="preserve"> 20 </w:t>
      </w:r>
      <w:r w:rsidRPr="009C4B7A">
        <w:rPr>
          <w:rFonts w:asciiTheme="majorHAnsi" w:hAnsiTheme="majorHAnsi"/>
          <w:noProof/>
        </w:rPr>
        <w:t>years</w:t>
      </w:r>
      <w:r w:rsidR="00272F82" w:rsidRPr="009C4B7A">
        <w:rPr>
          <w:rFonts w:asciiTheme="majorHAnsi" w:hAnsiTheme="majorHAnsi"/>
          <w:noProof/>
        </w:rPr>
        <w:t>,</w:t>
      </w:r>
      <w:r w:rsidRPr="009C4B7A">
        <w:rPr>
          <w:rFonts w:asciiTheme="majorHAnsi" w:hAnsiTheme="majorHAnsi"/>
        </w:rPr>
        <w:t xml:space="preserve"> total Assets under management in Europe have constantly increased despite long economic crisis from 2007/8 to 2015.</w:t>
      </w:r>
    </w:p>
    <w:p w:rsidR="009C4B7A" w:rsidRDefault="00E9121A" w:rsidP="00206D79">
      <w:pPr>
        <w:pStyle w:val="Corpotesto"/>
        <w:spacing w:after="280"/>
        <w:jc w:val="center"/>
        <w:rPr>
          <w:rFonts w:asciiTheme="majorHAnsi" w:hAnsiTheme="majorHAnsi"/>
        </w:rPr>
      </w:pPr>
      <w:r w:rsidRPr="009C4B7A">
        <w:rPr>
          <w:rFonts w:asciiTheme="majorHAnsi" w:hAnsiTheme="majorHAnsi"/>
          <w:noProof/>
          <w:lang w:val="en-US" w:eastAsia="en-US"/>
        </w:rPr>
        <w:drawing>
          <wp:inline distT="0" distB="0" distL="0" distR="0">
            <wp:extent cx="6399094" cy="4078514"/>
            <wp:effectExtent l="0" t="0" r="1905"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05383" cy="4082523"/>
                    </a:xfrm>
                    <a:prstGeom prst="rect">
                      <a:avLst/>
                    </a:prstGeom>
                    <a:noFill/>
                  </pic:spPr>
                </pic:pic>
              </a:graphicData>
            </a:graphic>
          </wp:inline>
        </w:drawing>
      </w:r>
    </w:p>
    <w:p w:rsidR="0016590F" w:rsidRPr="003C15AA" w:rsidRDefault="001B78B5" w:rsidP="00460C2C">
      <w:pPr>
        <w:pStyle w:val="Titolo2"/>
        <w:rPr>
          <w:rFonts w:ascii="Franklin Gothic Demi" w:eastAsia="Times New Roman" w:hAnsi="Franklin Gothic Demi" w:cs="Times New Roman"/>
          <w:b w:val="0"/>
          <w:bCs w:val="0"/>
          <w:iCs w:val="0"/>
          <w:color w:val="018BB3"/>
          <w:spacing w:val="26"/>
          <w:szCs w:val="36"/>
        </w:rPr>
      </w:pPr>
      <w:bookmarkStart w:id="44" w:name="_Toc256000063"/>
      <w:bookmarkStart w:id="45" w:name="_Toc256000044"/>
      <w:bookmarkStart w:id="46" w:name="_Toc256000025"/>
      <w:bookmarkStart w:id="47" w:name="_Toc256000006"/>
      <w:bookmarkStart w:id="48" w:name="_Toc523439997"/>
      <w:r w:rsidRPr="003C15AA">
        <w:rPr>
          <w:rFonts w:ascii="Franklin Gothic Demi" w:eastAsia="Times New Roman" w:hAnsi="Franklin Gothic Demi" w:cs="Times New Roman"/>
          <w:b w:val="0"/>
          <w:bCs w:val="0"/>
          <w:iCs w:val="0"/>
          <w:color w:val="018BB3"/>
          <w:spacing w:val="26"/>
          <w:szCs w:val="36"/>
        </w:rPr>
        <w:t>Competition</w:t>
      </w:r>
      <w:bookmarkEnd w:id="44"/>
      <w:bookmarkEnd w:id="45"/>
      <w:bookmarkEnd w:id="46"/>
      <w:bookmarkEnd w:id="47"/>
      <w:bookmarkEnd w:id="48"/>
    </w:p>
    <w:p w:rsidR="004B110F" w:rsidRPr="001269CC" w:rsidRDefault="009C4B7A" w:rsidP="00460C2C">
      <w:pPr>
        <w:pStyle w:val="Titolo3"/>
        <w:spacing w:after="280"/>
        <w:rPr>
          <w:rFonts w:asciiTheme="majorHAnsi" w:hAnsiTheme="majorHAnsi"/>
          <w:szCs w:val="24"/>
        </w:rPr>
      </w:pPr>
      <w:r w:rsidRPr="007208E6">
        <w:rPr>
          <w:rFonts w:asciiTheme="majorHAnsi" w:hAnsiTheme="majorHAnsi"/>
          <w:noProof/>
          <w:szCs w:val="24"/>
        </w:rPr>
        <w:t>CURRENT</w:t>
      </w:r>
      <w:r w:rsidRPr="001269CC">
        <w:rPr>
          <w:rFonts w:asciiTheme="majorHAnsi" w:hAnsiTheme="majorHAnsi"/>
          <w:szCs w:val="24"/>
        </w:rPr>
        <w:t xml:space="preserve"> ALTERNATIVES</w:t>
      </w:r>
    </w:p>
    <w:p w:rsidR="00864B20" w:rsidRPr="00514E99" w:rsidRDefault="00A436EE" w:rsidP="00460C2C">
      <w:pPr>
        <w:pStyle w:val="Corpotesto"/>
        <w:spacing w:after="280"/>
        <w:rPr>
          <w:rFonts w:asciiTheme="majorHAnsi" w:hAnsiTheme="majorHAnsi"/>
        </w:rPr>
      </w:pPr>
      <w:r w:rsidRPr="009C4B7A">
        <w:rPr>
          <w:rFonts w:asciiTheme="majorHAnsi" w:hAnsiTheme="majorHAnsi"/>
        </w:rPr>
        <w:t xml:space="preserve">We quite understand the kind of competitive market in which we are going to operate. </w:t>
      </w:r>
      <w:r w:rsidR="001B78B5" w:rsidRPr="009C4B7A">
        <w:rPr>
          <w:rFonts w:asciiTheme="majorHAnsi" w:hAnsiTheme="majorHAnsi"/>
        </w:rPr>
        <w:t>The investment</w:t>
      </w:r>
      <w:r w:rsidRPr="009C4B7A">
        <w:rPr>
          <w:rFonts w:asciiTheme="majorHAnsi" w:hAnsiTheme="majorHAnsi"/>
        </w:rPr>
        <w:t xml:space="preserve"> market is</w:t>
      </w:r>
      <w:r w:rsidR="001B78B5" w:rsidRPr="009C4B7A">
        <w:rPr>
          <w:rFonts w:asciiTheme="majorHAnsi" w:hAnsiTheme="majorHAnsi"/>
        </w:rPr>
        <w:t xml:space="preserve"> huge with </w:t>
      </w:r>
      <w:r w:rsidRPr="009C4B7A">
        <w:rPr>
          <w:rFonts w:asciiTheme="majorHAnsi" w:hAnsiTheme="majorHAnsi"/>
        </w:rPr>
        <w:t>many long-</w:t>
      </w:r>
      <w:r w:rsidR="001B78B5" w:rsidRPr="009C4B7A">
        <w:rPr>
          <w:rFonts w:asciiTheme="majorHAnsi" w:hAnsiTheme="majorHAnsi"/>
        </w:rPr>
        <w:t>established firms</w:t>
      </w:r>
      <w:r w:rsidRPr="009C4B7A">
        <w:rPr>
          <w:rFonts w:asciiTheme="majorHAnsi" w:hAnsiTheme="majorHAnsi"/>
        </w:rPr>
        <w:t xml:space="preserve"> sharing the space with </w:t>
      </w:r>
      <w:r w:rsidR="001B78B5" w:rsidRPr="009C4B7A">
        <w:rPr>
          <w:rFonts w:asciiTheme="majorHAnsi" w:hAnsiTheme="majorHAnsi"/>
        </w:rPr>
        <w:t>new ones. CFX will have to face top competition with a superior experience brand, image, customer base, resources to invest, established structure and market position.</w:t>
      </w:r>
    </w:p>
    <w:p w:rsidR="004B110F" w:rsidRPr="001269CC" w:rsidRDefault="00864B20" w:rsidP="00460C2C">
      <w:pPr>
        <w:pStyle w:val="Titolo3"/>
        <w:spacing w:after="280"/>
        <w:rPr>
          <w:rFonts w:asciiTheme="majorHAnsi" w:hAnsiTheme="majorHAnsi"/>
          <w:szCs w:val="24"/>
        </w:rPr>
      </w:pPr>
      <w:r w:rsidRPr="001269CC">
        <w:rPr>
          <w:rFonts w:asciiTheme="majorHAnsi" w:hAnsiTheme="majorHAnsi"/>
          <w:szCs w:val="24"/>
        </w:rPr>
        <w:lastRenderedPageBreak/>
        <w:t>OUR ADVANTAGES</w:t>
      </w:r>
    </w:p>
    <w:p w:rsidR="00864B20" w:rsidRPr="00D8640C" w:rsidRDefault="007208E6" w:rsidP="007208E6">
      <w:pPr>
        <w:pStyle w:val="Corpotesto"/>
        <w:spacing w:before="100" w:after="100"/>
        <w:jc w:val="center"/>
        <w:rPr>
          <w:rFonts w:asciiTheme="majorHAnsi" w:hAnsiTheme="majorHAnsi"/>
          <w:noProof/>
          <w:lang w:val="en-US" w:eastAsia="en-US"/>
        </w:rPr>
      </w:pPr>
      <w:r>
        <w:rPr>
          <w:rFonts w:ascii="Trebuchet MS" w:hAnsi="Trebuchet MS"/>
          <w:b/>
          <w:sz w:val="28"/>
          <w:szCs w:val="28"/>
        </w:rPr>
        <w:t>Summary of</w:t>
      </w:r>
      <w:r w:rsidR="00864B20" w:rsidRPr="007208E6">
        <w:rPr>
          <w:rFonts w:ascii="Trebuchet MS" w:hAnsi="Trebuchet MS"/>
          <w:b/>
          <w:sz w:val="28"/>
          <w:szCs w:val="28"/>
        </w:rPr>
        <w:t xml:space="preserve"> CFX advantages in 4 + 1 mai</w:t>
      </w:r>
      <w:r w:rsidR="00D8640C" w:rsidRPr="007208E6">
        <w:rPr>
          <w:rFonts w:ascii="Trebuchet MS" w:hAnsi="Trebuchet MS"/>
          <w:b/>
          <w:sz w:val="28"/>
          <w:szCs w:val="28"/>
        </w:rPr>
        <w:t xml:space="preserve">n </w:t>
      </w:r>
      <w:r w:rsidR="00D8640C" w:rsidRPr="007208E6">
        <w:rPr>
          <w:rFonts w:ascii="Trebuchet MS" w:hAnsi="Trebuchet MS"/>
          <w:b/>
          <w:noProof/>
          <w:sz w:val="28"/>
          <w:szCs w:val="28"/>
        </w:rPr>
        <w:t>featu</w:t>
      </w:r>
      <w:r w:rsidRPr="007208E6">
        <w:rPr>
          <w:rFonts w:ascii="Trebuchet MS" w:hAnsi="Trebuchet MS"/>
          <w:b/>
          <w:noProof/>
          <w:sz w:val="28"/>
          <w:szCs w:val="28"/>
        </w:rPr>
        <w:t>res</w:t>
      </w:r>
      <w:r w:rsidR="00945E09">
        <w:rPr>
          <w:rFonts w:asciiTheme="majorHAnsi" w:hAnsiTheme="majorHAnsi"/>
          <w:noProof/>
          <w:lang w:val="en-US" w:eastAsia="en-US"/>
        </w:rPr>
        <w:drawing>
          <wp:inline distT="0" distB="0" distL="0" distR="0">
            <wp:extent cx="5156896" cy="5000625"/>
            <wp:effectExtent l="0" t="0" r="0" b="0"/>
            <wp:docPr id="39" name="Picture 39" descr="C:\Users\moming\AppData\Local\Microsoft\Windows\INetCache\Content.Word\Our_Advant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oming\AppData\Local\Microsoft\Windows\INetCache\Content.Word\Our_Advantage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79738" cy="5022775"/>
                    </a:xfrm>
                    <a:prstGeom prst="rect">
                      <a:avLst/>
                    </a:prstGeom>
                    <a:noFill/>
                    <a:ln>
                      <a:noFill/>
                    </a:ln>
                  </pic:spPr>
                </pic:pic>
              </a:graphicData>
            </a:graphic>
          </wp:inline>
        </w:drawing>
      </w:r>
    </w:p>
    <w:p w:rsidR="00367A25" w:rsidRPr="00367A25" w:rsidRDefault="00D8640C" w:rsidP="00460C2C">
      <w:pPr>
        <w:rPr>
          <w:rFonts w:asciiTheme="majorHAnsi" w:hAnsiTheme="majorHAnsi"/>
          <w:b/>
        </w:rPr>
      </w:pPr>
      <w:r>
        <w:rPr>
          <w:rFonts w:asciiTheme="majorHAnsi" w:hAnsiTheme="majorHAnsi"/>
          <w:b/>
        </w:rPr>
        <w:t xml:space="preserve">1. </w:t>
      </w:r>
      <w:r w:rsidR="001B78B5" w:rsidRPr="00367A25">
        <w:rPr>
          <w:rFonts w:asciiTheme="majorHAnsi" w:hAnsiTheme="majorHAnsi"/>
          <w:b/>
        </w:rPr>
        <w:t>Sentiment Index</w:t>
      </w:r>
    </w:p>
    <w:p w:rsidR="0016590F" w:rsidRDefault="001B78B5" w:rsidP="00460C2C">
      <w:pPr>
        <w:rPr>
          <w:rFonts w:asciiTheme="majorHAnsi" w:hAnsiTheme="majorHAnsi"/>
        </w:rPr>
      </w:pPr>
      <w:r w:rsidRPr="00367A25">
        <w:rPr>
          <w:rFonts w:asciiTheme="majorHAnsi" w:hAnsiTheme="majorHAnsi"/>
        </w:rPr>
        <w:t xml:space="preserve">CFX will </w:t>
      </w:r>
      <w:r w:rsidR="00C07EF9" w:rsidRPr="00367A25">
        <w:rPr>
          <w:rFonts w:asciiTheme="majorHAnsi" w:hAnsiTheme="majorHAnsi"/>
        </w:rPr>
        <w:t xml:space="preserve">have </w:t>
      </w:r>
      <w:r w:rsidRPr="00367A25">
        <w:rPr>
          <w:rFonts w:asciiTheme="majorHAnsi" w:hAnsiTheme="majorHAnsi"/>
        </w:rPr>
        <w:t>the first Sentiment</w:t>
      </w:r>
      <w:r w:rsidR="00C07EF9" w:rsidRPr="00367A25">
        <w:rPr>
          <w:rFonts w:asciiTheme="majorHAnsi" w:hAnsiTheme="majorHAnsi"/>
        </w:rPr>
        <w:t xml:space="preserve"> Index on markets built on real-</w:t>
      </w:r>
      <w:r w:rsidRPr="00367A25">
        <w:rPr>
          <w:rFonts w:asciiTheme="majorHAnsi" w:hAnsiTheme="majorHAnsi"/>
        </w:rPr>
        <w:t>people sentiment, upgraded constantly</w:t>
      </w:r>
      <w:r w:rsidR="00C07EF9" w:rsidRPr="00367A25">
        <w:rPr>
          <w:rFonts w:asciiTheme="majorHAnsi" w:hAnsiTheme="majorHAnsi"/>
        </w:rPr>
        <w:t>, worldwide, on the blockchain.</w:t>
      </w:r>
    </w:p>
    <w:p w:rsidR="00367A25" w:rsidRPr="00367A25" w:rsidRDefault="00367A25" w:rsidP="00460C2C">
      <w:pPr>
        <w:rPr>
          <w:rFonts w:asciiTheme="majorHAnsi" w:hAnsiTheme="majorHAnsi"/>
        </w:rPr>
      </w:pPr>
    </w:p>
    <w:p w:rsidR="0016590F" w:rsidRPr="00367A25" w:rsidRDefault="001B78B5" w:rsidP="00460C2C">
      <w:pPr>
        <w:rPr>
          <w:rFonts w:asciiTheme="majorHAnsi" w:hAnsiTheme="majorHAnsi"/>
          <w:b/>
        </w:rPr>
      </w:pPr>
      <w:r w:rsidRPr="00367A25">
        <w:rPr>
          <w:rFonts w:asciiTheme="majorHAnsi" w:hAnsiTheme="majorHAnsi"/>
          <w:b/>
        </w:rPr>
        <w:t>2. Performance</w:t>
      </w:r>
    </w:p>
    <w:p w:rsidR="0016590F" w:rsidRDefault="00C02B7D" w:rsidP="00460C2C">
      <w:pPr>
        <w:rPr>
          <w:rFonts w:asciiTheme="majorHAnsi" w:hAnsiTheme="majorHAnsi"/>
        </w:rPr>
      </w:pPr>
      <w:r w:rsidRPr="00367A25">
        <w:rPr>
          <w:rFonts w:asciiTheme="majorHAnsi" w:hAnsiTheme="majorHAnsi"/>
        </w:rPr>
        <w:t>F</w:t>
      </w:r>
      <w:r w:rsidR="001B78B5" w:rsidRPr="00367A25">
        <w:rPr>
          <w:rFonts w:asciiTheme="majorHAnsi" w:hAnsiTheme="majorHAnsi"/>
        </w:rPr>
        <w:t xml:space="preserve">unds invested with </w:t>
      </w:r>
      <w:r w:rsidRPr="00367A25">
        <w:rPr>
          <w:rFonts w:asciiTheme="majorHAnsi" w:hAnsiTheme="majorHAnsi"/>
        </w:rPr>
        <w:t xml:space="preserve">recommendations </w:t>
      </w:r>
      <w:r w:rsidR="001B78B5" w:rsidRPr="00367A25">
        <w:rPr>
          <w:rFonts w:asciiTheme="majorHAnsi" w:hAnsiTheme="majorHAnsi"/>
        </w:rPr>
        <w:t xml:space="preserve">from </w:t>
      </w:r>
      <w:r w:rsidRPr="00367A25">
        <w:rPr>
          <w:rFonts w:asciiTheme="majorHAnsi" w:hAnsiTheme="majorHAnsi"/>
        </w:rPr>
        <w:t xml:space="preserve">the </w:t>
      </w:r>
      <w:r w:rsidR="001B78B5" w:rsidRPr="00367A25">
        <w:rPr>
          <w:rFonts w:asciiTheme="majorHAnsi" w:hAnsiTheme="majorHAnsi"/>
        </w:rPr>
        <w:t>CFX Tra</w:t>
      </w:r>
      <w:r w:rsidRPr="00367A25">
        <w:rPr>
          <w:rFonts w:asciiTheme="majorHAnsi" w:hAnsiTheme="majorHAnsi"/>
        </w:rPr>
        <w:t xml:space="preserve">ding System will generate </w:t>
      </w:r>
      <w:r w:rsidR="001B78B5" w:rsidRPr="00367A25">
        <w:rPr>
          <w:rFonts w:asciiTheme="majorHAnsi" w:hAnsiTheme="majorHAnsi"/>
        </w:rPr>
        <w:t>profit on a full year basis</w:t>
      </w:r>
      <w:r w:rsidRPr="00367A25">
        <w:rPr>
          <w:rFonts w:asciiTheme="majorHAnsi" w:hAnsiTheme="majorHAnsi"/>
        </w:rPr>
        <w:t xml:space="preserve"> as </w:t>
      </w:r>
      <w:r w:rsidR="001B78B5" w:rsidRPr="00367A25">
        <w:rPr>
          <w:rFonts w:asciiTheme="majorHAnsi" w:hAnsiTheme="majorHAnsi"/>
        </w:rPr>
        <w:t xml:space="preserve">proven by </w:t>
      </w:r>
      <w:r w:rsidRPr="00367A25">
        <w:rPr>
          <w:rFonts w:asciiTheme="majorHAnsi" w:hAnsiTheme="majorHAnsi"/>
        </w:rPr>
        <w:t>3 years of t</w:t>
      </w:r>
      <w:r w:rsidR="001B78B5" w:rsidRPr="00367A25">
        <w:rPr>
          <w:rFonts w:asciiTheme="majorHAnsi" w:hAnsiTheme="majorHAnsi"/>
        </w:rPr>
        <w:t>esting</w:t>
      </w:r>
      <w:r w:rsidRPr="00367A25">
        <w:rPr>
          <w:rFonts w:asciiTheme="majorHAnsi" w:hAnsiTheme="majorHAnsi"/>
        </w:rPr>
        <w:t>.</w:t>
      </w:r>
    </w:p>
    <w:p w:rsidR="00367A25" w:rsidRPr="00367A25" w:rsidRDefault="00367A25" w:rsidP="00460C2C">
      <w:pPr>
        <w:rPr>
          <w:rFonts w:asciiTheme="majorHAnsi" w:hAnsiTheme="majorHAnsi"/>
        </w:rPr>
      </w:pPr>
    </w:p>
    <w:p w:rsidR="0016590F" w:rsidRPr="00367A25" w:rsidRDefault="001B78B5" w:rsidP="00460C2C">
      <w:pPr>
        <w:rPr>
          <w:rFonts w:asciiTheme="majorHAnsi" w:hAnsiTheme="majorHAnsi"/>
          <w:b/>
        </w:rPr>
      </w:pPr>
      <w:r w:rsidRPr="00367A25">
        <w:rPr>
          <w:rFonts w:asciiTheme="majorHAnsi" w:hAnsiTheme="majorHAnsi"/>
          <w:b/>
        </w:rPr>
        <w:lastRenderedPageBreak/>
        <w:t>3. Risk/reward ratio</w:t>
      </w:r>
    </w:p>
    <w:p w:rsidR="0016590F" w:rsidRDefault="001B78B5" w:rsidP="00460C2C">
      <w:pPr>
        <w:rPr>
          <w:rFonts w:asciiTheme="majorHAnsi" w:hAnsiTheme="majorHAnsi"/>
        </w:rPr>
      </w:pPr>
      <w:r w:rsidRPr="00367A25">
        <w:rPr>
          <w:rFonts w:asciiTheme="majorHAnsi" w:hAnsiTheme="majorHAnsi"/>
        </w:rPr>
        <w:t>Customers will be able to choose their preferred risk/reward ratio. CFX cannot legally guarantee future performance</w:t>
      </w:r>
      <w:r w:rsidRPr="00367A25">
        <w:rPr>
          <w:rFonts w:asciiTheme="majorHAnsi" w:hAnsiTheme="majorHAnsi"/>
          <w:noProof/>
        </w:rPr>
        <w:t>,but</w:t>
      </w:r>
      <w:r w:rsidRPr="00367A25">
        <w:rPr>
          <w:rFonts w:asciiTheme="majorHAnsi" w:hAnsiTheme="majorHAnsi"/>
        </w:rPr>
        <w:t xml:space="preserve"> </w:t>
      </w:r>
      <w:r w:rsidR="000A1C8F" w:rsidRPr="00367A25">
        <w:rPr>
          <w:rFonts w:asciiTheme="majorHAnsi" w:hAnsiTheme="majorHAnsi"/>
        </w:rPr>
        <w:t xml:space="preserve">we </w:t>
      </w:r>
      <w:r w:rsidRPr="00367A25">
        <w:rPr>
          <w:rFonts w:asciiTheme="majorHAnsi" w:hAnsiTheme="majorHAnsi"/>
        </w:rPr>
        <w:t xml:space="preserve">can guarantee that </w:t>
      </w:r>
      <w:r w:rsidR="00C02B7D" w:rsidRPr="00367A25">
        <w:rPr>
          <w:rFonts w:asciiTheme="majorHAnsi" w:hAnsiTheme="majorHAnsi"/>
        </w:rPr>
        <w:t xml:space="preserve">customer </w:t>
      </w:r>
      <w:r w:rsidRPr="00367A25">
        <w:rPr>
          <w:rFonts w:asciiTheme="majorHAnsi" w:hAnsiTheme="majorHAnsi"/>
        </w:rPr>
        <w:t xml:space="preserve">risk </w:t>
      </w:r>
      <w:r w:rsidR="00C02B7D" w:rsidRPr="00367A25">
        <w:rPr>
          <w:rFonts w:asciiTheme="majorHAnsi" w:hAnsiTheme="majorHAnsi"/>
        </w:rPr>
        <w:t>will be optimally managed</w:t>
      </w:r>
      <w:r w:rsidRPr="00367A25">
        <w:rPr>
          <w:rFonts w:asciiTheme="majorHAnsi" w:hAnsiTheme="majorHAnsi"/>
        </w:rPr>
        <w:t>.</w:t>
      </w:r>
    </w:p>
    <w:p w:rsidR="00367A25" w:rsidRPr="00367A25" w:rsidRDefault="00367A25" w:rsidP="00460C2C">
      <w:pPr>
        <w:rPr>
          <w:rFonts w:asciiTheme="majorHAnsi" w:hAnsiTheme="majorHAnsi"/>
        </w:rPr>
      </w:pPr>
    </w:p>
    <w:p w:rsidR="0016590F" w:rsidRPr="00367A25" w:rsidRDefault="001B78B5" w:rsidP="00460C2C">
      <w:pPr>
        <w:rPr>
          <w:rFonts w:asciiTheme="majorHAnsi" w:hAnsiTheme="majorHAnsi"/>
          <w:b/>
        </w:rPr>
      </w:pPr>
      <w:r w:rsidRPr="00367A25">
        <w:rPr>
          <w:rFonts w:asciiTheme="majorHAnsi" w:hAnsiTheme="majorHAnsi"/>
          <w:b/>
        </w:rPr>
        <w:t>4. Listed</w:t>
      </w:r>
    </w:p>
    <w:p w:rsidR="00B43C82" w:rsidRPr="00864B20" w:rsidRDefault="001B78B5" w:rsidP="00460C2C">
      <w:r w:rsidRPr="00367A25">
        <w:rPr>
          <w:rFonts w:asciiTheme="majorHAnsi" w:hAnsiTheme="majorHAnsi"/>
        </w:rPr>
        <w:t>CFX will start by offering its Tradi</w:t>
      </w:r>
      <w:r w:rsidR="00273140" w:rsidRPr="00367A25">
        <w:rPr>
          <w:rFonts w:asciiTheme="majorHAnsi" w:hAnsiTheme="majorHAnsi"/>
        </w:rPr>
        <w:t>ng System to Funds listed at</w:t>
      </w:r>
      <w:r w:rsidRPr="00367A25">
        <w:rPr>
          <w:rFonts w:asciiTheme="majorHAnsi" w:hAnsiTheme="majorHAnsi"/>
        </w:rPr>
        <w:t xml:space="preserve"> stock exchange</w:t>
      </w:r>
      <w:r w:rsidR="00273140" w:rsidRPr="00367A25">
        <w:rPr>
          <w:rFonts w:asciiTheme="majorHAnsi" w:hAnsiTheme="majorHAnsi"/>
        </w:rPr>
        <w:t>s</w:t>
      </w:r>
      <w:r w:rsidR="000A1C8F" w:rsidRPr="00367A25">
        <w:rPr>
          <w:rFonts w:asciiTheme="majorHAnsi" w:hAnsiTheme="majorHAnsi"/>
        </w:rPr>
        <w:t>. This guarantees</w:t>
      </w:r>
      <w:r w:rsidRPr="00367A25">
        <w:rPr>
          <w:rFonts w:asciiTheme="majorHAnsi" w:hAnsiTheme="majorHAnsi"/>
        </w:rPr>
        <w:t xml:space="preserve"> that their value is totally dependent on CFX TS and nothing else. Being officially listed, they'll </w:t>
      </w:r>
      <w:r w:rsidRPr="00367A25">
        <w:rPr>
          <w:rFonts w:asciiTheme="majorHAnsi" w:hAnsiTheme="majorHAnsi"/>
          <w:noProof/>
        </w:rPr>
        <w:t>be</w:t>
      </w:r>
      <w:r w:rsidR="00514E99" w:rsidRPr="00367A25">
        <w:rPr>
          <w:rFonts w:asciiTheme="majorHAnsi" w:hAnsiTheme="majorHAnsi"/>
          <w:noProof/>
        </w:rPr>
        <w:t xml:space="preserve"> </w:t>
      </w:r>
      <w:r w:rsidRPr="00367A25">
        <w:rPr>
          <w:rFonts w:asciiTheme="majorHAnsi" w:hAnsiTheme="majorHAnsi"/>
          <w:noProof/>
        </w:rPr>
        <w:t>bought</w:t>
      </w:r>
      <w:r w:rsidRPr="00367A25">
        <w:rPr>
          <w:rFonts w:asciiTheme="majorHAnsi" w:hAnsiTheme="majorHAnsi"/>
        </w:rPr>
        <w:t xml:space="preserve"> and sold in real time</w:t>
      </w:r>
      <w:r w:rsidR="000A1C8F" w:rsidRPr="00367A25">
        <w:rPr>
          <w:rFonts w:asciiTheme="majorHAnsi" w:hAnsiTheme="majorHAnsi"/>
        </w:rPr>
        <w:t>,</w:t>
      </w:r>
      <w:r w:rsidRPr="00367A25">
        <w:rPr>
          <w:rFonts w:asciiTheme="majorHAnsi" w:hAnsiTheme="majorHAnsi"/>
        </w:rPr>
        <w:t xml:space="preserve"> with no paper to manage or time to wait.</w:t>
      </w:r>
      <w:bookmarkStart w:id="49" w:name="_Toc256000064"/>
      <w:bookmarkStart w:id="50" w:name="_Toc256000045"/>
      <w:bookmarkStart w:id="51" w:name="_Toc256000026"/>
      <w:bookmarkStart w:id="52" w:name="_Toc256000007"/>
    </w:p>
    <w:tbl>
      <w:tblPr>
        <w:tblStyle w:val="Grigliatabella"/>
        <w:tblW w:w="0" w:type="auto"/>
        <w:tblBorders>
          <w:top w:val="none" w:sz="0" w:space="0" w:color="auto"/>
          <w:left w:val="none" w:sz="0" w:space="0" w:color="auto"/>
          <w:bottom w:val="single" w:sz="12" w:space="0" w:color="018BB3"/>
          <w:right w:val="none" w:sz="0" w:space="0" w:color="auto"/>
          <w:insideH w:val="none" w:sz="0" w:space="0" w:color="auto"/>
          <w:insideV w:val="none" w:sz="0" w:space="0" w:color="auto"/>
        </w:tblBorders>
        <w:tblCellMar>
          <w:top w:w="288" w:type="dxa"/>
          <w:left w:w="115" w:type="dxa"/>
          <w:bottom w:w="288" w:type="dxa"/>
          <w:right w:w="115" w:type="dxa"/>
        </w:tblCellMar>
        <w:tblLook w:val="04A0" w:firstRow="1" w:lastRow="0" w:firstColumn="1" w:lastColumn="0" w:noHBand="0" w:noVBand="1"/>
      </w:tblPr>
      <w:tblGrid>
        <w:gridCol w:w="9576"/>
      </w:tblGrid>
      <w:tr w:rsidR="00296242" w:rsidTr="00B50DB3">
        <w:tc>
          <w:tcPr>
            <w:tcW w:w="9576" w:type="dxa"/>
          </w:tcPr>
          <w:p w:rsidR="00296242" w:rsidRPr="00296242" w:rsidRDefault="00367A25" w:rsidP="00460C2C">
            <w:pPr>
              <w:pStyle w:val="Titolo1"/>
              <w:spacing w:after="280"/>
              <w:rPr>
                <w:rFonts w:ascii="Franklin Gothic Demi" w:hAnsi="Franklin Gothic Demi"/>
                <w:iCs/>
                <w:color w:val="018BB3"/>
                <w:spacing w:val="26"/>
                <w:kern w:val="0"/>
                <w:szCs w:val="44"/>
              </w:rPr>
            </w:pPr>
            <w:r>
              <w:rPr>
                <w:rFonts w:ascii="Times New Roman" w:eastAsia="Times New Roman" w:hAnsi="Times New Roman" w:cs="Times New Roman"/>
                <w:b w:val="0"/>
                <w:bCs w:val="0"/>
                <w:color w:val="auto"/>
                <w:kern w:val="0"/>
                <w:sz w:val="24"/>
                <w:szCs w:val="24"/>
              </w:rPr>
              <w:br w:type="page"/>
            </w:r>
            <w:bookmarkStart w:id="53" w:name="_Toc523439998"/>
            <w:r w:rsidR="00296242" w:rsidRPr="00296242">
              <w:rPr>
                <w:rFonts w:ascii="Franklin Gothic Demi" w:hAnsi="Franklin Gothic Demi"/>
                <w:iCs/>
                <w:color w:val="018BB3"/>
                <w:spacing w:val="26"/>
                <w:kern w:val="0"/>
                <w:szCs w:val="44"/>
              </w:rPr>
              <w:t>Execution</w:t>
            </w:r>
            <w:bookmarkEnd w:id="53"/>
          </w:p>
        </w:tc>
      </w:tr>
    </w:tbl>
    <w:p w:rsidR="00B8580A" w:rsidRPr="00B8580A" w:rsidRDefault="00B8580A" w:rsidP="00460C2C">
      <w:pPr>
        <w:rPr>
          <w:noProof/>
          <w:lang w:val="en-US" w:eastAsia="en-US"/>
        </w:rPr>
      </w:pPr>
      <w:bookmarkStart w:id="54" w:name="_Toc256000084"/>
      <w:bookmarkStart w:id="55" w:name="_Toc256000065"/>
      <w:bookmarkStart w:id="56" w:name="_Toc256000046"/>
      <w:bookmarkStart w:id="57" w:name="_Toc256000027"/>
      <w:bookmarkStart w:id="58" w:name="_Toc256000008"/>
      <w:bookmarkEnd w:id="49"/>
      <w:bookmarkEnd w:id="50"/>
      <w:bookmarkEnd w:id="51"/>
      <w:bookmarkEnd w:id="52"/>
    </w:p>
    <w:p w:rsidR="004B110F" w:rsidRPr="003C15AA" w:rsidRDefault="001B78B5" w:rsidP="00460C2C">
      <w:pPr>
        <w:pStyle w:val="Titolo2"/>
        <w:rPr>
          <w:rFonts w:ascii="Franklin Gothic Demi" w:eastAsia="Times New Roman" w:hAnsi="Franklin Gothic Demi" w:cs="Times New Roman"/>
          <w:b w:val="0"/>
          <w:bCs w:val="0"/>
          <w:iCs w:val="0"/>
          <w:color w:val="018BB3"/>
          <w:spacing w:val="26"/>
          <w:szCs w:val="36"/>
        </w:rPr>
      </w:pPr>
      <w:bookmarkStart w:id="59" w:name="_Toc523439999"/>
      <w:r w:rsidRPr="003C15AA">
        <w:rPr>
          <w:rFonts w:ascii="Franklin Gothic Demi" w:eastAsia="Times New Roman" w:hAnsi="Franklin Gothic Demi" w:cs="Times New Roman"/>
          <w:b w:val="0"/>
          <w:bCs w:val="0"/>
          <w:iCs w:val="0"/>
          <w:color w:val="018BB3"/>
          <w:spacing w:val="26"/>
          <w:szCs w:val="36"/>
        </w:rPr>
        <w:t>Marketing &amp; Sales</w:t>
      </w:r>
      <w:bookmarkEnd w:id="54"/>
      <w:bookmarkEnd w:id="55"/>
      <w:bookmarkEnd w:id="56"/>
      <w:bookmarkEnd w:id="57"/>
      <w:bookmarkEnd w:id="58"/>
      <w:bookmarkEnd w:id="59"/>
    </w:p>
    <w:p w:rsidR="004B110F" w:rsidRPr="001269CC" w:rsidRDefault="00296242" w:rsidP="00460C2C">
      <w:pPr>
        <w:pStyle w:val="Titolo3"/>
        <w:spacing w:after="280"/>
        <w:rPr>
          <w:rFonts w:asciiTheme="majorHAnsi" w:hAnsiTheme="majorHAnsi"/>
          <w:szCs w:val="24"/>
        </w:rPr>
      </w:pPr>
      <w:r w:rsidRPr="001269CC">
        <w:rPr>
          <w:rFonts w:asciiTheme="majorHAnsi" w:hAnsiTheme="majorHAnsi"/>
          <w:szCs w:val="24"/>
        </w:rPr>
        <w:t>PRICING</w:t>
      </w:r>
    </w:p>
    <w:p w:rsidR="00B8580A" w:rsidRPr="00B8580A" w:rsidRDefault="001B78B5" w:rsidP="00460C2C">
      <w:pPr>
        <w:pStyle w:val="Corpotesto"/>
        <w:spacing w:after="280"/>
        <w:rPr>
          <w:rFonts w:asciiTheme="majorHAnsi" w:hAnsiTheme="majorHAnsi"/>
          <w:sz w:val="2"/>
        </w:rPr>
      </w:pPr>
      <w:r w:rsidRPr="00296242">
        <w:rPr>
          <w:rFonts w:asciiTheme="majorHAnsi" w:hAnsiTheme="majorHAnsi"/>
        </w:rPr>
        <w:t xml:space="preserve">Price for Licensing HATS software depends on the type of License </w:t>
      </w:r>
      <w:r w:rsidR="00047D47" w:rsidRPr="00296242">
        <w:rPr>
          <w:rFonts w:asciiTheme="majorHAnsi" w:hAnsiTheme="majorHAnsi"/>
        </w:rPr>
        <w:t xml:space="preserve">utilizer </w:t>
      </w:r>
      <w:r w:rsidRPr="00296242">
        <w:rPr>
          <w:rFonts w:asciiTheme="majorHAnsi" w:hAnsiTheme="majorHAnsi"/>
        </w:rPr>
        <w:t>and the type of Product.</w:t>
      </w:r>
    </w:p>
    <w:p w:rsidR="001269CC" w:rsidRDefault="005C4B26" w:rsidP="00206D79">
      <w:pPr>
        <w:pStyle w:val="Corpotesto"/>
        <w:spacing w:after="280"/>
        <w:jc w:val="center"/>
        <w:rPr>
          <w:rFonts w:asciiTheme="majorHAnsi" w:hAnsiTheme="majorHAnsi"/>
        </w:rPr>
      </w:pPr>
      <w:r>
        <w:rPr>
          <w:rFonts w:asciiTheme="majorHAnsi" w:hAnsiTheme="majorHAnsi"/>
          <w:noProof/>
          <w:lang w:val="en-US" w:eastAsia="en-US"/>
        </w:rPr>
        <w:drawing>
          <wp:inline distT="0" distB="0" distL="0" distR="0">
            <wp:extent cx="6282526" cy="1630276"/>
            <wp:effectExtent l="57150" t="0" r="42545" b="12255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moming\AppData\Local\Microsoft\Windows\INetCache\Content.Word\PErformance-comp1.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282526" cy="1630276"/>
                    </a:xfrm>
                    <a:prstGeom prst="rect">
                      <a:avLst/>
                    </a:prstGeom>
                    <a:noFill/>
                    <a:ln>
                      <a:noFill/>
                    </a:ln>
                    <a:effectLst>
                      <a:outerShdw blurRad="50800" dist="50800" dir="5400000" algn="ctr" rotWithShape="0">
                        <a:schemeClr val="bg1"/>
                      </a:outerShdw>
                    </a:effectLst>
                  </pic:spPr>
                </pic:pic>
              </a:graphicData>
            </a:graphic>
          </wp:inline>
        </w:drawing>
      </w:r>
    </w:p>
    <w:p w:rsidR="000272F9" w:rsidRDefault="001B78B5" w:rsidP="00460C2C">
      <w:pPr>
        <w:pStyle w:val="Corpotesto"/>
        <w:spacing w:after="280"/>
        <w:rPr>
          <w:rFonts w:asciiTheme="majorHAnsi" w:hAnsiTheme="majorHAnsi"/>
        </w:rPr>
      </w:pPr>
      <w:r w:rsidRPr="00296242">
        <w:rPr>
          <w:rFonts w:asciiTheme="majorHAnsi" w:hAnsiTheme="majorHAnsi"/>
        </w:rPr>
        <w:t xml:space="preserve">HATS may be used from Institutions willing to create funds entirely managed with CFX system, </w:t>
      </w:r>
      <w:r w:rsidR="00047D47" w:rsidRPr="00296242">
        <w:rPr>
          <w:rFonts w:asciiTheme="majorHAnsi" w:hAnsiTheme="majorHAnsi"/>
        </w:rPr>
        <w:t xml:space="preserve">with price based on results, </w:t>
      </w:r>
      <w:r w:rsidRPr="00296242">
        <w:rPr>
          <w:rFonts w:asciiTheme="majorHAnsi" w:hAnsiTheme="majorHAnsi"/>
        </w:rPr>
        <w:t>and</w:t>
      </w:r>
      <w:r w:rsidR="00047D47" w:rsidRPr="00296242">
        <w:rPr>
          <w:rFonts w:asciiTheme="majorHAnsi" w:hAnsiTheme="majorHAnsi"/>
        </w:rPr>
        <w:t>,</w:t>
      </w:r>
      <w:r w:rsidRPr="00296242">
        <w:rPr>
          <w:rFonts w:asciiTheme="majorHAnsi" w:hAnsiTheme="majorHAnsi"/>
        </w:rPr>
        <w:t xml:space="preserve"> therefore offering the </w:t>
      </w:r>
      <w:r w:rsidRPr="005C456C">
        <w:rPr>
          <w:rFonts w:asciiTheme="majorHAnsi" w:hAnsiTheme="majorHAnsi"/>
          <w:noProof/>
        </w:rPr>
        <w:t>best</w:t>
      </w:r>
      <w:r w:rsidR="005C456C">
        <w:rPr>
          <w:rFonts w:asciiTheme="majorHAnsi" w:hAnsiTheme="majorHAnsi"/>
          <w:noProof/>
        </w:rPr>
        <w:t xml:space="preserve"> </w:t>
      </w:r>
      <w:r w:rsidRPr="005C456C">
        <w:rPr>
          <w:rFonts w:asciiTheme="majorHAnsi" w:hAnsiTheme="majorHAnsi"/>
          <w:noProof/>
        </w:rPr>
        <w:t>return</w:t>
      </w:r>
      <w:r w:rsidRPr="00296242">
        <w:rPr>
          <w:rFonts w:asciiTheme="majorHAnsi" w:hAnsiTheme="majorHAnsi"/>
        </w:rPr>
        <w:t>.</w:t>
      </w:r>
    </w:p>
    <w:p w:rsidR="0016590F" w:rsidRPr="003354B4" w:rsidRDefault="005C4B26" w:rsidP="004C672B">
      <w:pPr>
        <w:pStyle w:val="Corpotesto"/>
        <w:spacing w:after="280"/>
      </w:pPr>
      <w:r>
        <w:rPr>
          <w:noProof/>
          <w:lang w:val="en-US" w:eastAsia="en-US"/>
        </w:rPr>
        <w:lastRenderedPageBreak/>
        <w:drawing>
          <wp:inline distT="0" distB="0" distL="0" distR="0">
            <wp:extent cx="6197600" cy="2057351"/>
            <wp:effectExtent l="0" t="0" r="0" b="63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moming\AppData\Local\Microsoft\Windows\INetCache\Content.Word\tYPE+Of+Utilizers.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206583" cy="2060333"/>
                    </a:xfrm>
                    <a:prstGeom prst="rect">
                      <a:avLst/>
                    </a:prstGeom>
                    <a:noFill/>
                    <a:ln>
                      <a:noFill/>
                    </a:ln>
                  </pic:spPr>
                </pic:pic>
              </a:graphicData>
            </a:graphic>
          </wp:inline>
        </w:drawing>
      </w:r>
      <w:r w:rsidR="001B78B5">
        <w:br/>
      </w:r>
      <w:r w:rsidR="00661BD3" w:rsidRPr="000272F9">
        <w:rPr>
          <w:rFonts w:asciiTheme="majorHAnsi" w:hAnsiTheme="majorHAnsi"/>
        </w:rPr>
        <w:t>Funds managed entirely with HAFS</w:t>
      </w:r>
      <w:r w:rsidR="001B78B5" w:rsidRPr="000272F9">
        <w:rPr>
          <w:rFonts w:asciiTheme="majorHAnsi" w:hAnsiTheme="majorHAnsi"/>
        </w:rPr>
        <w:t xml:space="preserve"> will also have an entry and management commission fee that will be split among the Institution and CFX, to cover fixed costs.</w:t>
      </w:r>
    </w:p>
    <w:p w:rsidR="001269CC" w:rsidRDefault="001B78B5" w:rsidP="00460C2C">
      <w:pPr>
        <w:pStyle w:val="Corpotesto"/>
        <w:spacing w:after="280"/>
        <w:rPr>
          <w:rFonts w:asciiTheme="majorHAnsi" w:hAnsiTheme="majorHAnsi"/>
          <w:b/>
          <w:color w:val="FF0066"/>
        </w:rPr>
      </w:pPr>
      <w:r w:rsidRPr="000272F9">
        <w:rPr>
          <w:rFonts w:asciiTheme="majorHAnsi" w:hAnsiTheme="majorHAnsi"/>
        </w:rPr>
        <w:t>Same Performance fee</w:t>
      </w:r>
      <w:r w:rsidR="00661BD3" w:rsidRPr="000272F9">
        <w:rPr>
          <w:rFonts w:asciiTheme="majorHAnsi" w:hAnsiTheme="majorHAnsi"/>
        </w:rPr>
        <w:t>s</w:t>
      </w:r>
      <w:r w:rsidRPr="000272F9">
        <w:rPr>
          <w:rFonts w:asciiTheme="majorHAnsi" w:hAnsiTheme="majorHAnsi"/>
        </w:rPr>
        <w:t xml:space="preserve"> are fixed for Private investors who invest through CFX Token acquisition. In this case, 70% of tokens first </w:t>
      </w:r>
      <w:r w:rsidRPr="000272F9">
        <w:rPr>
          <w:rFonts w:asciiTheme="majorHAnsi" w:hAnsiTheme="majorHAnsi"/>
          <w:noProof/>
        </w:rPr>
        <w:t>value is</w:t>
      </w:r>
      <w:r w:rsidRPr="000272F9">
        <w:rPr>
          <w:rFonts w:asciiTheme="majorHAnsi" w:hAnsiTheme="majorHAnsi"/>
        </w:rPr>
        <w:t xml:space="preserve"> invested in internal Funds managed entirely under HATS specific indication of every single trade.</w:t>
      </w:r>
    </w:p>
    <w:p w:rsidR="00EE76D2" w:rsidRDefault="005C4B26" w:rsidP="00206D79">
      <w:pPr>
        <w:pStyle w:val="Corpotesto"/>
        <w:spacing w:after="280"/>
        <w:jc w:val="center"/>
        <w:rPr>
          <w:rFonts w:asciiTheme="majorHAnsi" w:hAnsiTheme="majorHAnsi"/>
        </w:rPr>
      </w:pPr>
      <w:r>
        <w:rPr>
          <w:rFonts w:asciiTheme="majorHAnsi" w:hAnsiTheme="majorHAnsi"/>
          <w:noProof/>
          <w:lang w:val="en-US" w:eastAsia="en-US"/>
        </w:rPr>
        <w:drawing>
          <wp:inline distT="0" distB="0" distL="0" distR="0">
            <wp:extent cx="6400800" cy="2206890"/>
            <wp:effectExtent l="0" t="0" r="0" b="317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moming\AppData\Local\Microsoft\Windows\INetCache\Content.Word\PErformance-comp2.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400800" cy="2206890"/>
                    </a:xfrm>
                    <a:prstGeom prst="rect">
                      <a:avLst/>
                    </a:prstGeom>
                    <a:noFill/>
                    <a:ln>
                      <a:noFill/>
                    </a:ln>
                  </pic:spPr>
                </pic:pic>
              </a:graphicData>
            </a:graphic>
          </wp:inline>
        </w:drawing>
      </w:r>
    </w:p>
    <w:p w:rsidR="00FE1C49" w:rsidRDefault="001B78B5" w:rsidP="00460C2C">
      <w:pPr>
        <w:pStyle w:val="Corpotesto"/>
        <w:spacing w:after="280"/>
        <w:rPr>
          <w:rFonts w:asciiTheme="majorHAnsi" w:hAnsiTheme="majorHAnsi"/>
        </w:rPr>
      </w:pPr>
      <w:r w:rsidRPr="000272F9">
        <w:rPr>
          <w:rFonts w:asciiTheme="majorHAnsi" w:hAnsiTheme="majorHAnsi"/>
        </w:rPr>
        <w:t>On the quarterly return</w:t>
      </w:r>
      <w:r w:rsidR="00661BD3" w:rsidRPr="000272F9">
        <w:rPr>
          <w:rFonts w:asciiTheme="majorHAnsi" w:hAnsiTheme="majorHAnsi"/>
        </w:rPr>
        <w:t>,</w:t>
      </w:r>
      <w:r w:rsidRPr="000272F9">
        <w:rPr>
          <w:rFonts w:asciiTheme="majorHAnsi" w:hAnsiTheme="majorHAnsi"/>
        </w:rPr>
        <w:t xml:space="preserve"> a 30% performance fee is detracted and the net return is split among all token holders at that moment, in equal part.</w:t>
      </w:r>
    </w:p>
    <w:p w:rsidR="009370F1" w:rsidRDefault="001B78B5" w:rsidP="00460C2C">
      <w:pPr>
        <w:pStyle w:val="Corpotesto"/>
        <w:spacing w:after="280"/>
        <w:rPr>
          <w:rFonts w:asciiTheme="majorHAnsi" w:hAnsiTheme="majorHAnsi"/>
        </w:rPr>
      </w:pPr>
      <w:r w:rsidRPr="00046E2B">
        <w:rPr>
          <w:rFonts w:asciiTheme="majorHAnsi" w:hAnsiTheme="majorHAnsi"/>
        </w:rPr>
        <w:t>Institutional investors negotiate with CFX both in price and usage modalities of HATS, which may vary deeply from customer to customer. Percentages are much lower, compared to Funds dedicated, as Capital is much superior.</w:t>
      </w:r>
    </w:p>
    <w:p w:rsidR="00FE1C49" w:rsidRDefault="001B78B5" w:rsidP="00460C2C">
      <w:pPr>
        <w:pStyle w:val="Corpotesto"/>
        <w:spacing w:after="280"/>
        <w:rPr>
          <w:rFonts w:asciiTheme="majorHAnsi" w:hAnsiTheme="majorHAnsi"/>
        </w:rPr>
      </w:pPr>
      <w:r w:rsidRPr="000272F9">
        <w:rPr>
          <w:rFonts w:asciiTheme="majorHAnsi" w:hAnsiTheme="majorHAnsi"/>
        </w:rPr>
        <w:lastRenderedPageBreak/>
        <w:t xml:space="preserve">CFX expects </w:t>
      </w:r>
      <w:r w:rsidR="00661BD3" w:rsidRPr="000272F9">
        <w:rPr>
          <w:rFonts w:asciiTheme="majorHAnsi" w:hAnsiTheme="majorHAnsi"/>
        </w:rPr>
        <w:t>a significant portion</w:t>
      </w:r>
      <w:r w:rsidRPr="000272F9">
        <w:rPr>
          <w:rFonts w:asciiTheme="majorHAnsi" w:hAnsiTheme="majorHAnsi"/>
        </w:rPr>
        <w:t xml:space="preserve"> of its profit </w:t>
      </w:r>
      <w:r w:rsidR="00661BD3" w:rsidRPr="000272F9">
        <w:rPr>
          <w:rFonts w:asciiTheme="majorHAnsi" w:hAnsiTheme="majorHAnsi"/>
        </w:rPr>
        <w:t xml:space="preserve">coming from </w:t>
      </w:r>
      <w:r w:rsidRPr="000272F9">
        <w:rPr>
          <w:rFonts w:asciiTheme="majorHAnsi" w:hAnsiTheme="majorHAnsi"/>
        </w:rPr>
        <w:t>direct money management of its financial resources arriving from different sources:</w:t>
      </w:r>
    </w:p>
    <w:p w:rsidR="00B8580A" w:rsidRDefault="005C4B26" w:rsidP="00206D79">
      <w:pPr>
        <w:pStyle w:val="Corpotesto"/>
        <w:spacing w:after="280"/>
        <w:jc w:val="center"/>
        <w:rPr>
          <w:rFonts w:asciiTheme="majorHAnsi" w:hAnsiTheme="majorHAnsi"/>
          <w:b/>
          <w:sz w:val="28"/>
        </w:rPr>
      </w:pPr>
      <w:r>
        <w:rPr>
          <w:noProof/>
          <w:lang w:val="en-US" w:eastAsia="en-US"/>
        </w:rPr>
        <w:drawing>
          <wp:inline distT="0" distB="0" distL="0" distR="0">
            <wp:extent cx="6867525" cy="2318598"/>
            <wp:effectExtent l="0" t="0" r="0" b="0"/>
            <wp:docPr id="372" name="Picture 372" descr="C:\Users\moming\AppData\Local\Microsoft\Windows\INetCache\Content.Word\Sources_of_CFX_Own_FIna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moming\AppData\Local\Microsoft\Windows\INetCache\Content.Word\Sources_of_CFX_Own_FInances.png"/>
                    <pic:cNvPicPr>
                      <a:picLocks noChangeAspect="1" noChangeArrowheads="1"/>
                    </pic:cNvPicPr>
                  </pic:nvPicPr>
                  <pic:blipFill>
                    <a:blip r:embed="rId35" cstate="print">
                      <a:extLst>
                        <a:ext uri="{BEBA8EAE-BF5A-486C-A8C5-ECC9F3942E4B}">
                          <a14:imgProps xmlns:a14="http://schemas.microsoft.com/office/drawing/2010/main">
                            <a14:imgLayer r:embed="rId36">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t="4477"/>
                    <a:stretch>
                      <a:fillRect/>
                    </a:stretch>
                  </pic:blipFill>
                  <pic:spPr bwMode="auto">
                    <a:xfrm>
                      <a:off x="0" y="0"/>
                      <a:ext cx="6886107" cy="2324872"/>
                    </a:xfrm>
                    <a:prstGeom prst="rect">
                      <a:avLst/>
                    </a:prstGeom>
                    <a:noFill/>
                    <a:ln>
                      <a:noFill/>
                    </a:ln>
                  </pic:spPr>
                </pic:pic>
              </a:graphicData>
            </a:graphic>
          </wp:inline>
        </w:drawing>
      </w:r>
    </w:p>
    <w:p w:rsidR="0016590F" w:rsidRPr="001269CC" w:rsidRDefault="00E02E7F" w:rsidP="00460C2C">
      <w:pPr>
        <w:pStyle w:val="Corpotesto"/>
        <w:spacing w:after="280"/>
        <w:rPr>
          <w:rFonts w:asciiTheme="majorHAnsi" w:hAnsiTheme="majorHAnsi"/>
          <w:sz w:val="28"/>
        </w:rPr>
      </w:pPr>
      <w:r w:rsidRPr="001269CC">
        <w:rPr>
          <w:rFonts w:asciiTheme="majorHAnsi" w:hAnsiTheme="majorHAnsi"/>
          <w:b/>
          <w:sz w:val="28"/>
        </w:rPr>
        <w:t>MARKETING PLAN</w:t>
      </w:r>
    </w:p>
    <w:p w:rsidR="00050FE9" w:rsidRPr="00050FE9" w:rsidRDefault="001B78B5" w:rsidP="00460C2C">
      <w:pPr>
        <w:pStyle w:val="Nessunaspaziatura"/>
        <w:rPr>
          <w:rFonts w:asciiTheme="majorHAnsi" w:hAnsiTheme="majorHAnsi"/>
          <w:b/>
          <w:bCs/>
          <w:sz w:val="16"/>
        </w:rPr>
      </w:pPr>
      <w:r w:rsidRPr="00050FE9">
        <w:rPr>
          <w:rFonts w:asciiTheme="majorHAnsi" w:hAnsiTheme="majorHAnsi"/>
          <w:b/>
          <w:bCs/>
        </w:rPr>
        <w:t>Marketing focus activities</w:t>
      </w:r>
      <w:r w:rsidR="00050FE9">
        <w:rPr>
          <w:rFonts w:asciiTheme="majorHAnsi" w:hAnsiTheme="majorHAnsi"/>
          <w:b/>
          <w:bCs/>
        </w:rPr>
        <w:br/>
      </w:r>
    </w:p>
    <w:p w:rsidR="004359F7" w:rsidRDefault="001B78B5" w:rsidP="00460C2C">
      <w:pPr>
        <w:pStyle w:val="Nessunaspaziatura"/>
        <w:rPr>
          <w:rFonts w:asciiTheme="majorHAnsi" w:hAnsiTheme="majorHAnsi"/>
        </w:rPr>
      </w:pPr>
      <w:r w:rsidRPr="00050FE9">
        <w:rPr>
          <w:rFonts w:asciiTheme="majorHAnsi" w:hAnsiTheme="majorHAnsi"/>
        </w:rPr>
        <w:t>I</w:t>
      </w:r>
      <w:r w:rsidR="00272F82" w:rsidRPr="00050FE9">
        <w:rPr>
          <w:rFonts w:asciiTheme="majorHAnsi" w:hAnsiTheme="majorHAnsi"/>
        </w:rPr>
        <w:t>n order to educate Partners and customers t</w:t>
      </w:r>
      <w:r w:rsidRPr="00050FE9">
        <w:rPr>
          <w:rFonts w:asciiTheme="majorHAnsi" w:hAnsiTheme="majorHAnsi"/>
        </w:rPr>
        <w:t xml:space="preserve">o fully understand </w:t>
      </w:r>
      <w:r w:rsidR="00272F82" w:rsidRPr="00050FE9">
        <w:rPr>
          <w:rFonts w:asciiTheme="majorHAnsi" w:hAnsiTheme="majorHAnsi"/>
        </w:rPr>
        <w:t xml:space="preserve">the </w:t>
      </w:r>
      <w:r w:rsidRPr="00050FE9">
        <w:rPr>
          <w:rFonts w:asciiTheme="majorHAnsi" w:hAnsiTheme="majorHAnsi"/>
        </w:rPr>
        <w:t xml:space="preserve">HATS system, </w:t>
      </w:r>
      <w:r w:rsidRPr="00050FE9">
        <w:rPr>
          <w:rFonts w:asciiTheme="majorHAnsi" w:hAnsiTheme="majorHAnsi"/>
          <w:noProof/>
        </w:rPr>
        <w:t>Sentiment</w:t>
      </w:r>
      <w:r w:rsidR="00272F82" w:rsidRPr="00050FE9">
        <w:rPr>
          <w:rFonts w:asciiTheme="majorHAnsi" w:hAnsiTheme="majorHAnsi"/>
        </w:rPr>
        <w:t xml:space="preserve"> Index, and Blockchain basics</w:t>
      </w:r>
      <w:r w:rsidRPr="00050FE9">
        <w:rPr>
          <w:rFonts w:asciiTheme="majorHAnsi" w:hAnsiTheme="majorHAnsi"/>
        </w:rPr>
        <w:t xml:space="preserve">, </w:t>
      </w:r>
      <w:r w:rsidR="00272F82" w:rsidRPr="00050FE9">
        <w:rPr>
          <w:rFonts w:asciiTheme="majorHAnsi" w:hAnsiTheme="majorHAnsi"/>
        </w:rPr>
        <w:t xml:space="preserve">the </w:t>
      </w:r>
      <w:r w:rsidRPr="00050FE9">
        <w:rPr>
          <w:rFonts w:asciiTheme="majorHAnsi" w:hAnsiTheme="majorHAnsi"/>
        </w:rPr>
        <w:t>CFX marketing department will be deeply focu</w:t>
      </w:r>
      <w:r w:rsidR="00272F82" w:rsidRPr="00050FE9">
        <w:rPr>
          <w:rFonts w:asciiTheme="majorHAnsi" w:hAnsiTheme="majorHAnsi"/>
        </w:rPr>
        <w:t>sed on the following</w:t>
      </w:r>
      <w:r w:rsidR="00661BD3" w:rsidRPr="00050FE9">
        <w:rPr>
          <w:rFonts w:asciiTheme="majorHAnsi" w:hAnsiTheme="majorHAnsi"/>
        </w:rPr>
        <w:t>:</w:t>
      </w:r>
    </w:p>
    <w:p w:rsidR="00CC5755" w:rsidRPr="00050FE9" w:rsidRDefault="00CC5755" w:rsidP="00460C2C">
      <w:pPr>
        <w:pStyle w:val="Nessunaspaziatura"/>
        <w:rPr>
          <w:rFonts w:asciiTheme="majorHAnsi" w:hAnsiTheme="majorHAnsi"/>
        </w:rPr>
      </w:pPr>
    </w:p>
    <w:p w:rsidR="00CC5755" w:rsidRDefault="001B78B5" w:rsidP="00460C2C">
      <w:pPr>
        <w:pStyle w:val="Corpotesto"/>
        <w:numPr>
          <w:ilvl w:val="0"/>
          <w:numId w:val="1"/>
        </w:numPr>
        <w:tabs>
          <w:tab w:val="clear" w:pos="360"/>
          <w:tab w:val="num" w:pos="270"/>
        </w:tabs>
        <w:spacing w:beforeAutospacing="0" w:after="0" w:afterAutospacing="0" w:line="160" w:lineRule="atLeast"/>
        <w:ind w:left="270" w:hanging="270"/>
        <w:rPr>
          <w:rFonts w:asciiTheme="majorHAnsi" w:hAnsiTheme="majorHAnsi"/>
        </w:rPr>
      </w:pPr>
      <w:r w:rsidRPr="00E02E7F">
        <w:rPr>
          <w:rFonts w:asciiTheme="majorHAnsi" w:hAnsiTheme="majorHAnsi"/>
          <w:b/>
          <w:bCs/>
        </w:rPr>
        <w:t>Web Adverting and Promotion</w:t>
      </w:r>
    </w:p>
    <w:p w:rsidR="00CC5755" w:rsidRPr="00CC5755" w:rsidRDefault="00CC5755" w:rsidP="00460C2C">
      <w:pPr>
        <w:pStyle w:val="Corpotesto"/>
        <w:spacing w:beforeAutospacing="0" w:after="0" w:afterAutospacing="0" w:line="160" w:lineRule="atLeast"/>
        <w:ind w:left="270"/>
        <w:rPr>
          <w:rFonts w:asciiTheme="majorHAnsi" w:hAnsiTheme="majorHAnsi"/>
          <w:sz w:val="18"/>
        </w:rPr>
      </w:pPr>
    </w:p>
    <w:p w:rsidR="0016590F" w:rsidRDefault="001B78B5" w:rsidP="00460C2C">
      <w:pPr>
        <w:pStyle w:val="Corpotesto"/>
        <w:spacing w:beforeAutospacing="0" w:after="0" w:afterAutospacing="0" w:line="160" w:lineRule="atLeast"/>
        <w:rPr>
          <w:rFonts w:asciiTheme="majorHAnsi" w:hAnsiTheme="majorHAnsi"/>
        </w:rPr>
      </w:pPr>
      <w:r w:rsidRPr="00E02E7F">
        <w:rPr>
          <w:rFonts w:asciiTheme="majorHAnsi" w:hAnsiTheme="majorHAnsi"/>
        </w:rPr>
        <w:t xml:space="preserve">We'll cooperate with a premier Web Marketing Agency, already operating in Europe, in order to take care of the different tasks involved in the process </w:t>
      </w:r>
      <w:r w:rsidRPr="005C456C">
        <w:rPr>
          <w:rFonts w:asciiTheme="majorHAnsi" w:hAnsiTheme="majorHAnsi"/>
          <w:noProof/>
        </w:rPr>
        <w:t>of</w:t>
      </w:r>
      <w:r w:rsidR="005C456C">
        <w:rPr>
          <w:rFonts w:asciiTheme="majorHAnsi" w:hAnsiTheme="majorHAnsi"/>
          <w:noProof/>
        </w:rPr>
        <w:t xml:space="preserve"> a</w:t>
      </w:r>
      <w:r w:rsidRPr="00E02E7F">
        <w:rPr>
          <w:rFonts w:asciiTheme="majorHAnsi" w:hAnsiTheme="majorHAnsi"/>
        </w:rPr>
        <w:t xml:space="preserve"> full Social Media Marketing campaign</w:t>
      </w:r>
      <w:r w:rsidR="00661BD3" w:rsidRPr="00E02E7F">
        <w:rPr>
          <w:rFonts w:asciiTheme="majorHAnsi" w:hAnsiTheme="majorHAnsi"/>
        </w:rPr>
        <w:t>.</w:t>
      </w:r>
      <w:r w:rsidR="003354B4">
        <w:rPr>
          <w:rFonts w:asciiTheme="majorHAnsi" w:hAnsiTheme="majorHAnsi"/>
        </w:rPr>
        <w:t xml:space="preserve"> </w:t>
      </w:r>
      <w:r w:rsidRPr="00E02E7F">
        <w:rPr>
          <w:rFonts w:asciiTheme="majorHAnsi" w:hAnsiTheme="majorHAnsi"/>
        </w:rPr>
        <w:t xml:space="preserve">The principal Social Media instruments that will be utilized include Social Network, Interactive Videos, Landing Pages, Group activity, Social Events, </w:t>
      </w:r>
      <w:r w:rsidR="00661BD3" w:rsidRPr="00E02E7F">
        <w:rPr>
          <w:rFonts w:asciiTheme="majorHAnsi" w:hAnsiTheme="majorHAnsi"/>
        </w:rPr>
        <w:t xml:space="preserve">and </w:t>
      </w:r>
      <w:r w:rsidRPr="00E02E7F">
        <w:rPr>
          <w:rFonts w:asciiTheme="majorHAnsi" w:hAnsiTheme="majorHAnsi"/>
        </w:rPr>
        <w:t>Prizes.</w:t>
      </w:r>
    </w:p>
    <w:p w:rsidR="00CC5755" w:rsidRDefault="00CC5755" w:rsidP="00460C2C">
      <w:pPr>
        <w:pStyle w:val="Corpotesto"/>
        <w:spacing w:beforeAutospacing="0" w:after="0" w:afterAutospacing="0"/>
        <w:rPr>
          <w:rFonts w:asciiTheme="majorHAnsi" w:hAnsiTheme="majorHAnsi"/>
        </w:rPr>
      </w:pPr>
    </w:p>
    <w:p w:rsidR="00661BD3" w:rsidRPr="00CC5755" w:rsidRDefault="00661BD3" w:rsidP="00460C2C">
      <w:pPr>
        <w:pStyle w:val="Corpotesto"/>
        <w:numPr>
          <w:ilvl w:val="0"/>
          <w:numId w:val="1"/>
        </w:numPr>
        <w:tabs>
          <w:tab w:val="clear" w:pos="360"/>
          <w:tab w:val="num" w:pos="270"/>
        </w:tabs>
        <w:spacing w:beforeAutospacing="0" w:after="0" w:afterAutospacing="0"/>
        <w:ind w:left="270" w:hanging="270"/>
        <w:rPr>
          <w:rFonts w:asciiTheme="majorHAnsi" w:hAnsiTheme="majorHAnsi"/>
        </w:rPr>
      </w:pPr>
      <w:r w:rsidRPr="00E02E7F">
        <w:rPr>
          <w:rFonts w:asciiTheme="majorHAnsi" w:hAnsiTheme="majorHAnsi"/>
          <w:b/>
          <w:bCs/>
        </w:rPr>
        <w:t>Customer Support</w:t>
      </w:r>
      <w:r w:rsidR="001B78B5" w:rsidRPr="00E02E7F">
        <w:rPr>
          <w:rFonts w:asciiTheme="majorHAnsi" w:hAnsiTheme="majorHAnsi"/>
          <w:b/>
          <w:bCs/>
        </w:rPr>
        <w:t xml:space="preserve"> Department</w:t>
      </w:r>
    </w:p>
    <w:p w:rsidR="00CC5755" w:rsidRPr="00CC5755" w:rsidRDefault="00CC5755" w:rsidP="00460C2C">
      <w:pPr>
        <w:pStyle w:val="Corpotesto"/>
        <w:spacing w:beforeAutospacing="0" w:after="0" w:afterAutospacing="0"/>
        <w:rPr>
          <w:rFonts w:asciiTheme="majorHAnsi" w:hAnsiTheme="majorHAnsi"/>
          <w:sz w:val="10"/>
        </w:rPr>
      </w:pPr>
    </w:p>
    <w:p w:rsidR="0016590F" w:rsidRDefault="001B78B5" w:rsidP="00460C2C">
      <w:pPr>
        <w:pStyle w:val="Corpotesto"/>
        <w:spacing w:beforeAutospacing="0" w:after="0" w:afterAutospacing="0"/>
        <w:rPr>
          <w:rFonts w:asciiTheme="majorHAnsi" w:hAnsiTheme="majorHAnsi"/>
        </w:rPr>
      </w:pPr>
      <w:r w:rsidRPr="00E02E7F">
        <w:rPr>
          <w:rFonts w:asciiTheme="majorHAnsi" w:hAnsiTheme="majorHAnsi"/>
        </w:rPr>
        <w:t xml:space="preserve">CFX </w:t>
      </w:r>
      <w:r w:rsidR="00661BD3" w:rsidRPr="00E02E7F">
        <w:rPr>
          <w:rFonts w:asciiTheme="majorHAnsi" w:hAnsiTheme="majorHAnsi"/>
        </w:rPr>
        <w:t xml:space="preserve">will hire, train, and </w:t>
      </w:r>
      <w:r w:rsidRPr="00E02E7F">
        <w:rPr>
          <w:rFonts w:asciiTheme="majorHAnsi" w:hAnsiTheme="majorHAnsi"/>
        </w:rPr>
        <w:t xml:space="preserve">coordinate the activity of a highly professional customer </w:t>
      </w:r>
      <w:r w:rsidR="00661BD3" w:rsidRPr="00E02E7F">
        <w:rPr>
          <w:rFonts w:asciiTheme="majorHAnsi" w:hAnsiTheme="majorHAnsi"/>
        </w:rPr>
        <w:t xml:space="preserve">support </w:t>
      </w:r>
      <w:r w:rsidRPr="00E02E7F">
        <w:rPr>
          <w:rFonts w:asciiTheme="majorHAnsi" w:hAnsiTheme="majorHAnsi"/>
        </w:rPr>
        <w:t xml:space="preserve">team that will </w:t>
      </w:r>
      <w:r w:rsidR="00661BD3" w:rsidRPr="00E02E7F">
        <w:rPr>
          <w:rFonts w:asciiTheme="majorHAnsi" w:hAnsiTheme="majorHAnsi"/>
        </w:rPr>
        <w:t>use Salesforce CRM.</w:t>
      </w:r>
    </w:p>
    <w:p w:rsidR="00CC5755" w:rsidRPr="00E02E7F" w:rsidRDefault="00CC5755" w:rsidP="00460C2C">
      <w:pPr>
        <w:pStyle w:val="Corpotesto"/>
        <w:spacing w:beforeAutospacing="0" w:after="0" w:afterAutospacing="0"/>
        <w:rPr>
          <w:rFonts w:asciiTheme="majorHAnsi" w:hAnsiTheme="majorHAnsi"/>
        </w:rPr>
      </w:pPr>
    </w:p>
    <w:p w:rsidR="0016590F" w:rsidRPr="00CC5755" w:rsidRDefault="001B78B5" w:rsidP="00460C2C">
      <w:pPr>
        <w:pStyle w:val="Corpotesto"/>
        <w:numPr>
          <w:ilvl w:val="0"/>
          <w:numId w:val="1"/>
        </w:numPr>
        <w:tabs>
          <w:tab w:val="clear" w:pos="360"/>
          <w:tab w:val="num" w:pos="270"/>
        </w:tabs>
        <w:spacing w:beforeAutospacing="0" w:after="0" w:afterAutospacing="0"/>
        <w:rPr>
          <w:rFonts w:asciiTheme="majorHAnsi" w:hAnsiTheme="majorHAnsi"/>
        </w:rPr>
      </w:pPr>
      <w:r w:rsidRPr="00E02E7F">
        <w:rPr>
          <w:rFonts w:asciiTheme="majorHAnsi" w:hAnsiTheme="majorHAnsi"/>
          <w:b/>
          <w:bCs/>
        </w:rPr>
        <w:t>Referral marketing</w:t>
      </w:r>
    </w:p>
    <w:p w:rsidR="00CC5755" w:rsidRPr="00CC5755" w:rsidRDefault="00CC5755" w:rsidP="00460C2C">
      <w:pPr>
        <w:pStyle w:val="Corpotesto"/>
        <w:spacing w:beforeAutospacing="0" w:after="0" w:afterAutospacing="0"/>
        <w:ind w:left="360"/>
        <w:rPr>
          <w:rFonts w:asciiTheme="majorHAnsi" w:hAnsiTheme="majorHAnsi"/>
          <w:sz w:val="10"/>
        </w:rPr>
      </w:pPr>
    </w:p>
    <w:p w:rsidR="00CC5755" w:rsidRDefault="00661BD3" w:rsidP="00460C2C">
      <w:pPr>
        <w:pStyle w:val="Corpotesto"/>
        <w:spacing w:beforeAutospacing="0" w:after="0" w:afterAutospacing="0"/>
        <w:rPr>
          <w:rFonts w:asciiTheme="majorHAnsi" w:hAnsiTheme="majorHAnsi"/>
        </w:rPr>
      </w:pPr>
      <w:r w:rsidRPr="00E02E7F">
        <w:rPr>
          <w:rFonts w:asciiTheme="majorHAnsi" w:hAnsiTheme="majorHAnsi"/>
        </w:rPr>
        <w:t>S</w:t>
      </w:r>
      <w:r w:rsidR="001B78B5" w:rsidRPr="00E02E7F">
        <w:rPr>
          <w:rFonts w:asciiTheme="majorHAnsi" w:hAnsiTheme="majorHAnsi"/>
        </w:rPr>
        <w:t xml:space="preserve">uperior results generated by HATS will </w:t>
      </w:r>
      <w:r w:rsidRPr="00E02E7F">
        <w:rPr>
          <w:rFonts w:asciiTheme="majorHAnsi" w:hAnsiTheme="majorHAnsi"/>
        </w:rPr>
        <w:t xml:space="preserve">lead </w:t>
      </w:r>
      <w:r w:rsidR="001B78B5" w:rsidRPr="00E02E7F">
        <w:rPr>
          <w:rFonts w:asciiTheme="majorHAnsi" w:hAnsiTheme="majorHAnsi"/>
        </w:rPr>
        <w:t xml:space="preserve">to </w:t>
      </w:r>
      <w:r w:rsidRPr="00E02E7F">
        <w:rPr>
          <w:rFonts w:asciiTheme="majorHAnsi" w:hAnsiTheme="majorHAnsi"/>
        </w:rPr>
        <w:t>r</w:t>
      </w:r>
      <w:r w:rsidR="001B78B5" w:rsidRPr="00E02E7F">
        <w:rPr>
          <w:rFonts w:asciiTheme="majorHAnsi" w:hAnsiTheme="majorHAnsi"/>
        </w:rPr>
        <w:t>eferral</w:t>
      </w:r>
      <w:r w:rsidRPr="00E02E7F">
        <w:rPr>
          <w:rFonts w:asciiTheme="majorHAnsi" w:hAnsiTheme="majorHAnsi"/>
        </w:rPr>
        <w:t xml:space="preserve">s. We expect an </w:t>
      </w:r>
      <w:r w:rsidR="001B78B5" w:rsidRPr="00E02E7F">
        <w:rPr>
          <w:rFonts w:asciiTheme="majorHAnsi" w:hAnsiTheme="majorHAnsi"/>
        </w:rPr>
        <w:t>average of 0,5 Custo</w:t>
      </w:r>
      <w:r w:rsidRPr="00E02E7F">
        <w:rPr>
          <w:rFonts w:asciiTheme="majorHAnsi" w:hAnsiTheme="majorHAnsi"/>
        </w:rPr>
        <w:t>mers referred x active customer</w:t>
      </w:r>
      <w:r w:rsidR="001B78B5" w:rsidRPr="00E02E7F">
        <w:rPr>
          <w:rFonts w:asciiTheme="majorHAnsi" w:hAnsiTheme="majorHAnsi"/>
        </w:rPr>
        <w:t>.</w:t>
      </w:r>
    </w:p>
    <w:p w:rsidR="00CC5755" w:rsidRPr="00E02E7F" w:rsidRDefault="00CC5755" w:rsidP="00460C2C">
      <w:pPr>
        <w:pStyle w:val="Corpotesto"/>
        <w:spacing w:beforeAutospacing="0" w:after="0" w:afterAutospacing="0"/>
        <w:rPr>
          <w:rFonts w:asciiTheme="majorHAnsi" w:hAnsiTheme="majorHAnsi"/>
        </w:rPr>
      </w:pPr>
    </w:p>
    <w:p w:rsidR="0016590F" w:rsidRPr="00CC5755" w:rsidRDefault="002F58C9" w:rsidP="00460C2C">
      <w:pPr>
        <w:pStyle w:val="Corpotesto"/>
        <w:numPr>
          <w:ilvl w:val="0"/>
          <w:numId w:val="1"/>
        </w:numPr>
        <w:tabs>
          <w:tab w:val="clear" w:pos="360"/>
          <w:tab w:val="num" w:pos="270"/>
        </w:tabs>
        <w:spacing w:beforeAutospacing="0" w:after="0" w:afterAutospacing="0"/>
        <w:rPr>
          <w:rFonts w:asciiTheme="majorHAnsi" w:hAnsiTheme="majorHAnsi"/>
        </w:rPr>
      </w:pPr>
      <w:r w:rsidRPr="00E02E7F">
        <w:rPr>
          <w:rFonts w:asciiTheme="majorHAnsi" w:hAnsiTheme="majorHAnsi"/>
          <w:b/>
          <w:bCs/>
        </w:rPr>
        <w:t>PR</w:t>
      </w:r>
    </w:p>
    <w:p w:rsidR="00CC5755" w:rsidRPr="00CC5755" w:rsidRDefault="00CC5755" w:rsidP="00460C2C">
      <w:pPr>
        <w:pStyle w:val="Corpotesto"/>
        <w:spacing w:beforeAutospacing="0" w:after="0" w:afterAutospacing="0"/>
        <w:ind w:left="360"/>
        <w:rPr>
          <w:rFonts w:asciiTheme="majorHAnsi" w:hAnsiTheme="majorHAnsi"/>
          <w:sz w:val="10"/>
        </w:rPr>
      </w:pPr>
    </w:p>
    <w:p w:rsidR="0016590F" w:rsidRDefault="001B78B5" w:rsidP="00460C2C">
      <w:pPr>
        <w:pStyle w:val="Corpotesto"/>
        <w:spacing w:beforeAutospacing="0" w:after="0" w:afterAutospacing="0"/>
        <w:rPr>
          <w:rFonts w:asciiTheme="majorHAnsi" w:hAnsiTheme="majorHAnsi"/>
        </w:rPr>
      </w:pPr>
      <w:r w:rsidRPr="00E02E7F">
        <w:rPr>
          <w:rFonts w:asciiTheme="majorHAnsi" w:hAnsiTheme="majorHAnsi"/>
        </w:rPr>
        <w:t>We'll select one of the most credible PR Agencies operating in the international field, with whom there will be a total focus in organizing a continuous series of PR Events in each Country where we'll operate.</w:t>
      </w:r>
    </w:p>
    <w:p w:rsidR="00CC5755" w:rsidRPr="00E02E7F" w:rsidRDefault="00CC5755" w:rsidP="00460C2C">
      <w:pPr>
        <w:pStyle w:val="Corpotesto"/>
        <w:spacing w:beforeAutospacing="0" w:after="0" w:afterAutospacing="0"/>
        <w:rPr>
          <w:rFonts w:asciiTheme="majorHAnsi" w:hAnsiTheme="majorHAnsi"/>
        </w:rPr>
      </w:pPr>
    </w:p>
    <w:p w:rsidR="0016590F" w:rsidRPr="00E02E7F" w:rsidRDefault="001B78B5" w:rsidP="00460C2C">
      <w:pPr>
        <w:pStyle w:val="Corpotesto"/>
        <w:spacing w:beforeAutospacing="0" w:after="100"/>
        <w:rPr>
          <w:rFonts w:asciiTheme="majorHAnsi" w:hAnsiTheme="majorHAnsi"/>
        </w:rPr>
      </w:pPr>
      <w:r w:rsidRPr="00E02E7F">
        <w:rPr>
          <w:rFonts w:asciiTheme="majorHAnsi" w:hAnsiTheme="majorHAnsi"/>
          <w:b/>
          <w:bCs/>
        </w:rPr>
        <w:t>Direct and Indirect Investment procedures</w:t>
      </w:r>
    </w:p>
    <w:p w:rsidR="0016590F" w:rsidRPr="00E02E7F" w:rsidRDefault="001B78B5" w:rsidP="00460C2C">
      <w:pPr>
        <w:pStyle w:val="Corpotesto"/>
        <w:spacing w:beforeAutospacing="0" w:after="100"/>
        <w:rPr>
          <w:rFonts w:asciiTheme="majorHAnsi" w:hAnsiTheme="majorHAnsi"/>
        </w:rPr>
      </w:pPr>
      <w:r w:rsidRPr="00E02E7F">
        <w:rPr>
          <w:rFonts w:asciiTheme="majorHAnsi" w:hAnsiTheme="majorHAnsi"/>
        </w:rPr>
        <w:t>There will be two different way to become Private Customer:</w:t>
      </w:r>
    </w:p>
    <w:p w:rsidR="0016590F" w:rsidRDefault="002F58C9" w:rsidP="00460C2C">
      <w:pPr>
        <w:pStyle w:val="Corpotesto"/>
        <w:spacing w:beforeAutospacing="0" w:after="0" w:afterAutospacing="0"/>
        <w:rPr>
          <w:rFonts w:asciiTheme="majorHAnsi" w:hAnsiTheme="majorHAnsi"/>
          <w:b/>
          <w:bCs/>
        </w:rPr>
      </w:pPr>
      <w:r w:rsidRPr="00E02E7F">
        <w:rPr>
          <w:rFonts w:asciiTheme="majorHAnsi" w:hAnsiTheme="majorHAnsi"/>
          <w:b/>
          <w:bCs/>
        </w:rPr>
        <w:t>1.</w:t>
      </w:r>
      <w:r w:rsidR="00046E2B">
        <w:rPr>
          <w:rFonts w:asciiTheme="majorHAnsi" w:hAnsiTheme="majorHAnsi"/>
          <w:b/>
          <w:bCs/>
        </w:rPr>
        <w:t xml:space="preserve"> </w:t>
      </w:r>
      <w:r w:rsidR="001B78B5" w:rsidRPr="00E02E7F">
        <w:rPr>
          <w:rFonts w:asciiTheme="majorHAnsi" w:hAnsiTheme="majorHAnsi"/>
          <w:b/>
          <w:bCs/>
        </w:rPr>
        <w:t>Direct, via Token offered by the company</w:t>
      </w:r>
    </w:p>
    <w:p w:rsidR="00CC5755" w:rsidRPr="00CC5755" w:rsidRDefault="00CC5755" w:rsidP="00460C2C">
      <w:pPr>
        <w:pStyle w:val="Corpotesto"/>
        <w:spacing w:beforeAutospacing="0" w:after="0" w:afterAutospacing="0"/>
        <w:rPr>
          <w:rFonts w:asciiTheme="majorHAnsi" w:hAnsiTheme="majorHAnsi"/>
          <w:sz w:val="10"/>
        </w:rPr>
      </w:pPr>
    </w:p>
    <w:p w:rsidR="0016590F" w:rsidRDefault="001B78B5" w:rsidP="00460C2C">
      <w:pPr>
        <w:pStyle w:val="Corpotesto"/>
        <w:spacing w:beforeAutospacing="0" w:after="0" w:afterAutospacing="0"/>
        <w:rPr>
          <w:rFonts w:asciiTheme="majorHAnsi" w:hAnsiTheme="majorHAnsi"/>
        </w:rPr>
      </w:pPr>
      <w:r w:rsidRPr="00E02E7F">
        <w:rPr>
          <w:rFonts w:asciiTheme="majorHAnsi" w:hAnsiTheme="majorHAnsi"/>
        </w:rPr>
        <w:t xml:space="preserve">Anyone willing to buy CFX </w:t>
      </w:r>
      <w:r w:rsidR="002F58C9" w:rsidRPr="00E02E7F">
        <w:rPr>
          <w:rFonts w:asciiTheme="majorHAnsi" w:hAnsiTheme="majorHAnsi"/>
        </w:rPr>
        <w:t>Token, directly offered by CFX</w:t>
      </w:r>
      <w:r w:rsidRPr="00E02E7F">
        <w:rPr>
          <w:rFonts w:asciiTheme="majorHAnsi" w:hAnsiTheme="majorHAnsi"/>
        </w:rPr>
        <w:t xml:space="preserve"> in Presale/STO/Following issues</w:t>
      </w:r>
      <w:r w:rsidR="002F58C9" w:rsidRPr="00E02E7F">
        <w:rPr>
          <w:rFonts w:asciiTheme="majorHAnsi" w:hAnsiTheme="majorHAnsi"/>
        </w:rPr>
        <w:t>,</w:t>
      </w:r>
      <w:r w:rsidRPr="00E02E7F">
        <w:rPr>
          <w:rFonts w:asciiTheme="majorHAnsi" w:hAnsiTheme="majorHAnsi"/>
        </w:rPr>
        <w:t xml:space="preserve"> will have 70% of his money invested in Token, directly invested in CFX Internal Fund that will be managed according to the Main CFX Trading System.</w:t>
      </w:r>
    </w:p>
    <w:p w:rsidR="00B8580A" w:rsidRDefault="002F58C9" w:rsidP="00460C2C">
      <w:pPr>
        <w:pStyle w:val="Corpotesto"/>
        <w:spacing w:after="280"/>
        <w:rPr>
          <w:rFonts w:asciiTheme="majorHAnsi" w:hAnsiTheme="majorHAnsi"/>
          <w:b/>
          <w:bCs/>
        </w:rPr>
      </w:pPr>
      <w:r w:rsidRPr="00E02E7F">
        <w:rPr>
          <w:rFonts w:asciiTheme="majorHAnsi" w:hAnsiTheme="majorHAnsi"/>
          <w:b/>
          <w:bCs/>
        </w:rPr>
        <w:t xml:space="preserve">2. </w:t>
      </w:r>
      <w:r w:rsidR="001B78B5" w:rsidRPr="00E02E7F">
        <w:rPr>
          <w:rFonts w:asciiTheme="majorHAnsi" w:hAnsiTheme="majorHAnsi"/>
          <w:b/>
          <w:bCs/>
        </w:rPr>
        <w:t xml:space="preserve">Indirect, via Investment Funds bought in Exchange </w:t>
      </w:r>
    </w:p>
    <w:p w:rsidR="0016590F" w:rsidRPr="00E02E7F" w:rsidRDefault="001B78B5" w:rsidP="00460C2C">
      <w:pPr>
        <w:pStyle w:val="Corpotesto"/>
        <w:spacing w:after="280"/>
        <w:rPr>
          <w:rFonts w:asciiTheme="majorHAnsi" w:hAnsiTheme="majorHAnsi"/>
        </w:rPr>
      </w:pPr>
      <w:r w:rsidRPr="00E02E7F">
        <w:rPr>
          <w:rFonts w:asciiTheme="majorHAnsi" w:hAnsiTheme="majorHAnsi"/>
        </w:rPr>
        <w:t>Indirect customers will be able to buy, with Fiat Currency, HATS managed Funds in Germany and the SwissStock Exchange, at certified NAV value.</w:t>
      </w:r>
    </w:p>
    <w:p w:rsidR="0016590F" w:rsidRPr="00B8580A" w:rsidRDefault="001B78B5" w:rsidP="00460C2C">
      <w:pPr>
        <w:pStyle w:val="Corpotesto"/>
        <w:spacing w:after="280"/>
        <w:rPr>
          <w:rFonts w:asciiTheme="majorHAnsi" w:hAnsiTheme="majorHAnsi"/>
        </w:rPr>
      </w:pPr>
      <w:r w:rsidRPr="00B8580A">
        <w:rPr>
          <w:rFonts w:asciiTheme="majorHAnsi" w:hAnsiTheme="majorHAnsi"/>
        </w:rPr>
        <w:t>In the table below, we show our sales plan for each market segment.</w:t>
      </w:r>
    </w:p>
    <w:p w:rsidR="004B110F" w:rsidRPr="00B8580A" w:rsidRDefault="00B8580A" w:rsidP="00460C2C">
      <w:pPr>
        <w:pStyle w:val="Corpotesto"/>
        <w:spacing w:after="280"/>
        <w:rPr>
          <w:rFonts w:asciiTheme="majorHAnsi" w:hAnsiTheme="majorHAnsi"/>
          <w:b/>
          <w:sz w:val="28"/>
        </w:rPr>
      </w:pPr>
      <w:r w:rsidRPr="00B8580A">
        <w:rPr>
          <w:rFonts w:asciiTheme="majorHAnsi" w:hAnsiTheme="majorHAnsi"/>
          <w:b/>
          <w:sz w:val="28"/>
        </w:rPr>
        <w:t>SALES PLAN</w:t>
      </w:r>
    </w:p>
    <w:p w:rsidR="0016590F" w:rsidRPr="00B8580A" w:rsidRDefault="001B78B5" w:rsidP="00460C2C">
      <w:pPr>
        <w:pStyle w:val="Corpotesto"/>
        <w:spacing w:after="280"/>
        <w:rPr>
          <w:rFonts w:asciiTheme="majorHAnsi" w:hAnsiTheme="majorHAnsi"/>
        </w:rPr>
      </w:pPr>
      <w:r w:rsidRPr="00B8580A">
        <w:rPr>
          <w:rFonts w:asciiTheme="majorHAnsi" w:hAnsiTheme="majorHAnsi"/>
        </w:rPr>
        <w:t xml:space="preserve">It is important to remember that CFX does not, in any way, act as </w:t>
      </w:r>
      <w:r w:rsidR="00272F82" w:rsidRPr="00B8580A">
        <w:rPr>
          <w:rFonts w:asciiTheme="majorHAnsi" w:hAnsiTheme="majorHAnsi"/>
        </w:rPr>
        <w:t xml:space="preserve">a </w:t>
      </w:r>
      <w:r w:rsidRPr="00B8580A">
        <w:rPr>
          <w:rFonts w:asciiTheme="majorHAnsi" w:hAnsiTheme="majorHAnsi"/>
          <w:noProof/>
        </w:rPr>
        <w:t>money</w:t>
      </w:r>
      <w:r w:rsidRPr="00B8580A">
        <w:rPr>
          <w:rFonts w:asciiTheme="majorHAnsi" w:hAnsiTheme="majorHAnsi"/>
        </w:rPr>
        <w:t xml:space="preserve"> manager for this parties</w:t>
      </w:r>
      <w:r w:rsidRPr="005C456C">
        <w:rPr>
          <w:rFonts w:asciiTheme="majorHAnsi" w:hAnsiTheme="majorHAnsi"/>
          <w:noProof/>
        </w:rPr>
        <w:t>.</w:t>
      </w:r>
      <w:r w:rsidR="005C456C">
        <w:rPr>
          <w:rFonts w:asciiTheme="majorHAnsi" w:hAnsiTheme="majorHAnsi"/>
          <w:noProof/>
        </w:rPr>
        <w:t xml:space="preserve"> </w:t>
      </w:r>
      <w:r w:rsidRPr="005C456C">
        <w:rPr>
          <w:rFonts w:asciiTheme="majorHAnsi" w:hAnsiTheme="majorHAnsi"/>
          <w:noProof/>
        </w:rPr>
        <w:t>It</w:t>
      </w:r>
      <w:r w:rsidRPr="00B8580A">
        <w:rPr>
          <w:rFonts w:asciiTheme="majorHAnsi" w:hAnsiTheme="majorHAnsi"/>
        </w:rPr>
        <w:t xml:space="preserve"> generates revenues and profits by:</w:t>
      </w:r>
    </w:p>
    <w:p w:rsidR="00B8580A" w:rsidRPr="00B8580A" w:rsidRDefault="001B78B5" w:rsidP="00460C2C">
      <w:pPr>
        <w:pStyle w:val="Paragrafoelenco"/>
        <w:numPr>
          <w:ilvl w:val="0"/>
          <w:numId w:val="26"/>
        </w:numPr>
        <w:ind w:left="360"/>
        <w:rPr>
          <w:rFonts w:asciiTheme="majorHAnsi" w:hAnsiTheme="majorHAnsi"/>
        </w:rPr>
      </w:pPr>
      <w:r w:rsidRPr="00B8580A">
        <w:rPr>
          <w:rFonts w:asciiTheme="majorHAnsi" w:hAnsiTheme="majorHAnsi"/>
          <w:b/>
          <w:bCs/>
        </w:rPr>
        <w:t>Managing its internal portfolio</w:t>
      </w:r>
      <w:r w:rsidRPr="00B8580A">
        <w:rPr>
          <w:rFonts w:asciiTheme="majorHAnsi" w:hAnsiTheme="majorHAnsi"/>
        </w:rPr>
        <w:t xml:space="preserve">, created with funds derived from </w:t>
      </w:r>
      <w:r w:rsidR="00272F82" w:rsidRPr="00B8580A">
        <w:rPr>
          <w:rFonts w:asciiTheme="majorHAnsi" w:hAnsiTheme="majorHAnsi"/>
          <w:noProof/>
        </w:rPr>
        <w:t>the</w:t>
      </w:r>
      <w:r w:rsidRPr="00B8580A">
        <w:rPr>
          <w:rFonts w:asciiTheme="majorHAnsi" w:hAnsiTheme="majorHAnsi"/>
        </w:rPr>
        <w:t xml:space="preserve"> Token sale in private and pre-sale; STO period; </w:t>
      </w:r>
      <w:r w:rsidR="00272F82" w:rsidRPr="00B8580A">
        <w:rPr>
          <w:rFonts w:asciiTheme="majorHAnsi" w:hAnsiTheme="majorHAnsi"/>
        </w:rPr>
        <w:t xml:space="preserve">and </w:t>
      </w:r>
      <w:r w:rsidRPr="00B8580A">
        <w:rPr>
          <w:rFonts w:asciiTheme="majorHAnsi" w:hAnsiTheme="majorHAnsi"/>
        </w:rPr>
        <w:t>successive issues</w:t>
      </w:r>
    </w:p>
    <w:p w:rsidR="00B8580A" w:rsidRPr="00B8580A" w:rsidRDefault="00B8580A" w:rsidP="00460C2C">
      <w:pPr>
        <w:rPr>
          <w:rFonts w:asciiTheme="majorHAnsi" w:hAnsiTheme="majorHAnsi"/>
        </w:rPr>
      </w:pPr>
    </w:p>
    <w:p w:rsidR="00B8580A" w:rsidRDefault="001B78B5" w:rsidP="00460C2C">
      <w:pPr>
        <w:pStyle w:val="Paragrafoelenco"/>
        <w:numPr>
          <w:ilvl w:val="0"/>
          <w:numId w:val="26"/>
        </w:numPr>
        <w:ind w:left="360"/>
        <w:rPr>
          <w:rFonts w:asciiTheme="majorHAnsi" w:hAnsiTheme="majorHAnsi"/>
        </w:rPr>
      </w:pPr>
      <w:r w:rsidRPr="00B8580A">
        <w:rPr>
          <w:rFonts w:asciiTheme="majorHAnsi" w:hAnsiTheme="majorHAnsi"/>
          <w:b/>
          <w:bCs/>
        </w:rPr>
        <w:t>Licensing the use of its HATS Software</w:t>
      </w:r>
      <w:r w:rsidRPr="00B8580A">
        <w:rPr>
          <w:rFonts w:asciiTheme="majorHAnsi" w:hAnsiTheme="majorHAnsi"/>
        </w:rPr>
        <w:t xml:space="preserve"> by </w:t>
      </w:r>
      <w:r w:rsidRPr="00B8580A">
        <w:rPr>
          <w:rFonts w:asciiTheme="majorHAnsi" w:hAnsiTheme="majorHAnsi"/>
          <w:b/>
          <w:bCs/>
        </w:rPr>
        <w:t>Funds dedicated, owned by Institutions and </w:t>
      </w:r>
      <w:r w:rsidRPr="00B8580A">
        <w:rPr>
          <w:rFonts w:asciiTheme="majorHAnsi" w:hAnsiTheme="majorHAnsi"/>
        </w:rPr>
        <w:t> entirely managed with software indications</w:t>
      </w:r>
    </w:p>
    <w:p w:rsidR="00B8580A" w:rsidRPr="00B8580A" w:rsidRDefault="00B8580A" w:rsidP="00460C2C">
      <w:pPr>
        <w:rPr>
          <w:rFonts w:asciiTheme="majorHAnsi" w:hAnsiTheme="majorHAnsi"/>
        </w:rPr>
      </w:pPr>
    </w:p>
    <w:p w:rsidR="0016590F" w:rsidRPr="00B8580A" w:rsidRDefault="001B78B5" w:rsidP="00460C2C">
      <w:pPr>
        <w:pStyle w:val="Paragrafoelenco"/>
        <w:numPr>
          <w:ilvl w:val="0"/>
          <w:numId w:val="26"/>
        </w:numPr>
        <w:ind w:left="360"/>
        <w:rPr>
          <w:rFonts w:asciiTheme="majorHAnsi" w:hAnsiTheme="majorHAnsi"/>
        </w:rPr>
      </w:pPr>
      <w:r w:rsidRPr="00B8580A">
        <w:rPr>
          <w:rFonts w:asciiTheme="majorHAnsi" w:hAnsiTheme="majorHAnsi"/>
          <w:b/>
          <w:bCs/>
        </w:rPr>
        <w:t>Licensing the use of HATS Software and selling related service</w:t>
      </w:r>
      <w:r w:rsidRPr="00B8580A">
        <w:rPr>
          <w:rFonts w:asciiTheme="majorHAnsi" w:hAnsiTheme="majorHAnsi"/>
        </w:rPr>
        <w:t xml:space="preserve"> to Institutional Customers for their funds. </w:t>
      </w:r>
    </w:p>
    <w:p w:rsidR="0016590F" w:rsidRPr="00B8580A" w:rsidRDefault="001B78B5" w:rsidP="00460C2C">
      <w:pPr>
        <w:pStyle w:val="Corpotesto"/>
        <w:spacing w:after="280"/>
        <w:rPr>
          <w:rFonts w:asciiTheme="majorHAnsi" w:hAnsiTheme="majorHAnsi"/>
        </w:rPr>
      </w:pPr>
      <w:r w:rsidRPr="00B8580A">
        <w:rPr>
          <w:rFonts w:asciiTheme="majorHAnsi" w:hAnsiTheme="majorHAnsi"/>
        </w:rPr>
        <w:t xml:space="preserve">In </w:t>
      </w:r>
      <w:r w:rsidR="00272F82" w:rsidRPr="00B8580A">
        <w:rPr>
          <w:rFonts w:asciiTheme="majorHAnsi" w:hAnsiTheme="majorHAnsi"/>
        </w:rPr>
        <w:t xml:space="preserve">the </w:t>
      </w:r>
      <w:r w:rsidRPr="00B8580A">
        <w:rPr>
          <w:rFonts w:asciiTheme="majorHAnsi" w:hAnsiTheme="majorHAnsi"/>
          <w:noProof/>
        </w:rPr>
        <w:t>table</w:t>
      </w:r>
      <w:r w:rsidR="00272F82" w:rsidRPr="00B8580A">
        <w:rPr>
          <w:rFonts w:asciiTheme="majorHAnsi" w:hAnsiTheme="majorHAnsi"/>
          <w:noProof/>
        </w:rPr>
        <w:t>,</w:t>
      </w:r>
      <w:r w:rsidRPr="00B8580A">
        <w:rPr>
          <w:rFonts w:asciiTheme="majorHAnsi" w:hAnsiTheme="majorHAnsi"/>
        </w:rPr>
        <w:t xml:space="preserve"> we show our Sales plan for each market segment</w:t>
      </w:r>
      <w:r w:rsidRPr="005C456C">
        <w:rPr>
          <w:rFonts w:asciiTheme="majorHAnsi" w:hAnsiTheme="majorHAnsi"/>
          <w:noProof/>
        </w:rPr>
        <w:t>.</w:t>
      </w:r>
      <w:r w:rsidR="005C456C">
        <w:rPr>
          <w:rFonts w:asciiTheme="majorHAnsi" w:hAnsiTheme="majorHAnsi"/>
          <w:noProof/>
        </w:rPr>
        <w:t xml:space="preserve"> </w:t>
      </w:r>
      <w:r w:rsidRPr="005C456C">
        <w:rPr>
          <w:rFonts w:asciiTheme="majorHAnsi" w:hAnsiTheme="majorHAnsi"/>
          <w:noProof/>
        </w:rPr>
        <w:t>The</w:t>
      </w:r>
      <w:r w:rsidRPr="00B8580A">
        <w:rPr>
          <w:rFonts w:asciiTheme="majorHAnsi" w:hAnsiTheme="majorHAnsi"/>
        </w:rPr>
        <w:t xml:space="preserve"> objective is to explain CFX Token specifics to private customers, on account of the companies that will manage Funds dedicated to our system.</w:t>
      </w:r>
    </w:p>
    <w:p w:rsidR="0016590F" w:rsidRPr="00B8580A" w:rsidRDefault="001B78B5" w:rsidP="00460C2C">
      <w:pPr>
        <w:pStyle w:val="Corpotesto"/>
        <w:spacing w:after="280"/>
        <w:rPr>
          <w:rFonts w:asciiTheme="majorHAnsi" w:hAnsiTheme="majorHAnsi"/>
          <w:b/>
        </w:rPr>
      </w:pPr>
      <w:r w:rsidRPr="00B8580A">
        <w:rPr>
          <w:rFonts w:asciiTheme="majorHAnsi" w:hAnsiTheme="majorHAnsi"/>
          <w:b/>
        </w:rPr>
        <w:lastRenderedPageBreak/>
        <w:t>With this plan we indicate:</w:t>
      </w:r>
    </w:p>
    <w:p w:rsidR="0016590F" w:rsidRPr="00B8580A" w:rsidRDefault="002F58C9" w:rsidP="00460C2C">
      <w:pPr>
        <w:pStyle w:val="Corpotesto"/>
        <w:numPr>
          <w:ilvl w:val="0"/>
          <w:numId w:val="2"/>
        </w:numPr>
        <w:rPr>
          <w:rFonts w:asciiTheme="majorHAnsi" w:hAnsiTheme="majorHAnsi"/>
        </w:rPr>
      </w:pPr>
      <w:r w:rsidRPr="00B8580A">
        <w:rPr>
          <w:rFonts w:asciiTheme="majorHAnsi" w:hAnsiTheme="majorHAnsi"/>
        </w:rPr>
        <w:t>Cou</w:t>
      </w:r>
      <w:r w:rsidR="001B78B5" w:rsidRPr="00B8580A">
        <w:rPr>
          <w:rFonts w:asciiTheme="majorHAnsi" w:hAnsiTheme="majorHAnsi"/>
        </w:rPr>
        <w:t>ntries where we'll launch specific Marketing campaigns for SPC</w:t>
      </w:r>
    </w:p>
    <w:p w:rsidR="0016590F" w:rsidRPr="00B8580A" w:rsidRDefault="001B78B5" w:rsidP="00460C2C">
      <w:pPr>
        <w:pStyle w:val="Corpotesto"/>
        <w:numPr>
          <w:ilvl w:val="0"/>
          <w:numId w:val="2"/>
        </w:numPr>
        <w:rPr>
          <w:rFonts w:asciiTheme="majorHAnsi" w:hAnsiTheme="majorHAnsi"/>
        </w:rPr>
      </w:pPr>
      <w:r w:rsidRPr="00B8580A">
        <w:rPr>
          <w:rFonts w:asciiTheme="majorHAnsi" w:hAnsiTheme="majorHAnsi"/>
        </w:rPr>
        <w:t xml:space="preserve">Campaigns will be planned with </w:t>
      </w:r>
      <w:r w:rsidR="00272F82" w:rsidRPr="00B8580A">
        <w:rPr>
          <w:rFonts w:asciiTheme="majorHAnsi" w:hAnsiTheme="majorHAnsi"/>
        </w:rPr>
        <w:t xml:space="preserve">a </w:t>
      </w:r>
      <w:r w:rsidRPr="00B8580A">
        <w:rPr>
          <w:rFonts w:asciiTheme="majorHAnsi" w:hAnsiTheme="majorHAnsi"/>
          <w:noProof/>
        </w:rPr>
        <w:t>specialized</w:t>
      </w:r>
      <w:r w:rsidR="00272F82" w:rsidRPr="00B8580A">
        <w:rPr>
          <w:rFonts w:asciiTheme="majorHAnsi" w:hAnsiTheme="majorHAnsi"/>
        </w:rPr>
        <w:t xml:space="preserve"> Agency operating in each</w:t>
      </w:r>
      <w:r w:rsidRPr="00B8580A">
        <w:rPr>
          <w:rFonts w:asciiTheme="majorHAnsi" w:hAnsiTheme="majorHAnsi"/>
        </w:rPr>
        <w:t xml:space="preserve"> territory: </w:t>
      </w:r>
    </w:p>
    <w:p w:rsidR="0016590F" w:rsidRPr="00B8580A" w:rsidRDefault="001B78B5" w:rsidP="00460C2C">
      <w:pPr>
        <w:pStyle w:val="Corpotesto"/>
        <w:numPr>
          <w:ilvl w:val="1"/>
          <w:numId w:val="2"/>
        </w:numPr>
        <w:rPr>
          <w:rFonts w:asciiTheme="majorHAnsi" w:hAnsiTheme="majorHAnsi"/>
        </w:rPr>
      </w:pPr>
      <w:r w:rsidRPr="00B8580A">
        <w:rPr>
          <w:rFonts w:asciiTheme="majorHAnsi" w:hAnsiTheme="majorHAnsi"/>
        </w:rPr>
        <w:t>Social Media Marketing</w:t>
      </w:r>
    </w:p>
    <w:p w:rsidR="0016590F" w:rsidRPr="00B8580A" w:rsidRDefault="002F58C9" w:rsidP="00460C2C">
      <w:pPr>
        <w:pStyle w:val="Corpotesto"/>
        <w:numPr>
          <w:ilvl w:val="1"/>
          <w:numId w:val="2"/>
        </w:numPr>
        <w:rPr>
          <w:rFonts w:asciiTheme="majorHAnsi" w:hAnsiTheme="majorHAnsi"/>
        </w:rPr>
      </w:pPr>
      <w:r w:rsidRPr="00B8580A">
        <w:rPr>
          <w:rFonts w:asciiTheme="majorHAnsi" w:hAnsiTheme="majorHAnsi"/>
        </w:rPr>
        <w:t>Email</w:t>
      </w:r>
    </w:p>
    <w:p w:rsidR="0016590F" w:rsidRPr="00B8580A" w:rsidRDefault="001B78B5" w:rsidP="00460C2C">
      <w:pPr>
        <w:pStyle w:val="Corpotesto"/>
        <w:numPr>
          <w:ilvl w:val="1"/>
          <w:numId w:val="2"/>
        </w:numPr>
        <w:rPr>
          <w:rFonts w:asciiTheme="majorHAnsi" w:hAnsiTheme="majorHAnsi"/>
        </w:rPr>
      </w:pPr>
      <w:r w:rsidRPr="00B8580A">
        <w:rPr>
          <w:rFonts w:asciiTheme="majorHAnsi" w:hAnsiTheme="majorHAnsi"/>
        </w:rPr>
        <w:t>Web advertising</w:t>
      </w:r>
    </w:p>
    <w:p w:rsidR="002F58C9" w:rsidRPr="00B8580A" w:rsidRDefault="002F58C9" w:rsidP="00460C2C">
      <w:pPr>
        <w:pStyle w:val="Corpotesto"/>
        <w:numPr>
          <w:ilvl w:val="1"/>
          <w:numId w:val="2"/>
        </w:numPr>
        <w:rPr>
          <w:rFonts w:asciiTheme="majorHAnsi" w:hAnsiTheme="majorHAnsi"/>
        </w:rPr>
      </w:pPr>
      <w:r w:rsidRPr="00B8580A">
        <w:rPr>
          <w:rFonts w:asciiTheme="majorHAnsi" w:hAnsiTheme="majorHAnsi"/>
        </w:rPr>
        <w:t>Special Events</w:t>
      </w:r>
    </w:p>
    <w:p w:rsidR="0016590F" w:rsidRPr="00B8580A" w:rsidRDefault="001B78B5" w:rsidP="00460C2C">
      <w:pPr>
        <w:pStyle w:val="Corpotesto"/>
        <w:numPr>
          <w:ilvl w:val="1"/>
          <w:numId w:val="2"/>
        </w:numPr>
        <w:rPr>
          <w:rFonts w:asciiTheme="majorHAnsi" w:hAnsiTheme="majorHAnsi"/>
        </w:rPr>
      </w:pPr>
      <w:r w:rsidRPr="00B8580A">
        <w:rPr>
          <w:rFonts w:asciiTheme="majorHAnsi" w:hAnsiTheme="majorHAnsi"/>
        </w:rPr>
        <w:t>Referral marketing</w:t>
      </w:r>
    </w:p>
    <w:p w:rsidR="00D96F33" w:rsidRDefault="00272F82" w:rsidP="00460C2C">
      <w:pPr>
        <w:rPr>
          <w:rFonts w:asciiTheme="majorHAnsi" w:hAnsiTheme="majorHAnsi"/>
        </w:rPr>
      </w:pPr>
      <w:r w:rsidRPr="00B8580A">
        <w:rPr>
          <w:rFonts w:asciiTheme="majorHAnsi" w:hAnsiTheme="majorHAnsi"/>
          <w:noProof/>
        </w:rPr>
        <w:t>The p</w:t>
      </w:r>
      <w:r w:rsidR="002F58C9" w:rsidRPr="00B8580A">
        <w:rPr>
          <w:rFonts w:asciiTheme="majorHAnsi" w:hAnsiTheme="majorHAnsi"/>
          <w:noProof/>
        </w:rPr>
        <w:t>lan</w:t>
      </w:r>
      <w:r w:rsidR="002F58C9" w:rsidRPr="00B8580A">
        <w:rPr>
          <w:rFonts w:asciiTheme="majorHAnsi" w:hAnsiTheme="majorHAnsi"/>
        </w:rPr>
        <w:t xml:space="preserve"> also shows </w:t>
      </w:r>
      <w:r w:rsidR="001B78B5" w:rsidRPr="00B8580A">
        <w:rPr>
          <w:rFonts w:asciiTheme="majorHAnsi" w:hAnsiTheme="majorHAnsi"/>
        </w:rPr>
        <w:t xml:space="preserve">Target number of customers for Partner Fund </w:t>
      </w:r>
      <w:r w:rsidR="004D6361" w:rsidRPr="00B8580A">
        <w:rPr>
          <w:rFonts w:asciiTheme="majorHAnsi" w:hAnsiTheme="majorHAnsi"/>
        </w:rPr>
        <w:t xml:space="preserve">from which </w:t>
      </w:r>
      <w:r w:rsidR="001B78B5" w:rsidRPr="00B8580A">
        <w:rPr>
          <w:rFonts w:asciiTheme="majorHAnsi" w:hAnsiTheme="majorHAnsi"/>
        </w:rPr>
        <w:t>we expec</w:t>
      </w:r>
      <w:r w:rsidR="002F58C9" w:rsidRPr="00B8580A">
        <w:rPr>
          <w:rFonts w:asciiTheme="majorHAnsi" w:hAnsiTheme="majorHAnsi"/>
        </w:rPr>
        <w:t>t</w:t>
      </w:r>
      <w:r w:rsidR="004D6361" w:rsidRPr="00B8580A">
        <w:rPr>
          <w:rFonts w:asciiTheme="majorHAnsi" w:hAnsiTheme="majorHAnsi"/>
        </w:rPr>
        <w:t xml:space="preserve"> </w:t>
      </w:r>
      <w:r w:rsidR="004D6361" w:rsidRPr="005C456C">
        <w:rPr>
          <w:rFonts w:asciiTheme="majorHAnsi" w:hAnsiTheme="majorHAnsi"/>
          <w:noProof/>
        </w:rPr>
        <w:t>an</w:t>
      </w:r>
      <w:r w:rsidR="005C456C">
        <w:rPr>
          <w:rFonts w:asciiTheme="majorHAnsi" w:hAnsiTheme="majorHAnsi"/>
          <w:noProof/>
        </w:rPr>
        <w:t xml:space="preserve"> </w:t>
      </w:r>
      <w:r w:rsidR="002F58C9" w:rsidRPr="005C456C">
        <w:rPr>
          <w:rFonts w:asciiTheme="majorHAnsi" w:hAnsiTheme="majorHAnsi"/>
          <w:noProof/>
        </w:rPr>
        <w:t>average</w:t>
      </w:r>
      <w:r w:rsidR="002F58C9" w:rsidRPr="00B8580A">
        <w:rPr>
          <w:rFonts w:asciiTheme="majorHAnsi" w:hAnsiTheme="majorHAnsi"/>
          <w:noProof/>
        </w:rPr>
        <w:t xml:space="preserve"> investment</w:t>
      </w:r>
      <w:r w:rsidR="002F58C9" w:rsidRPr="00B8580A">
        <w:rPr>
          <w:rFonts w:asciiTheme="majorHAnsi" w:hAnsiTheme="majorHAnsi"/>
        </w:rPr>
        <w:t xml:space="preserve"> of 11300€.</w:t>
      </w:r>
    </w:p>
    <w:p w:rsidR="00D96F33" w:rsidRDefault="00D96F33" w:rsidP="00460C2C">
      <w:pPr>
        <w:pStyle w:val="Corpotesto"/>
        <w:spacing w:after="280"/>
        <w:rPr>
          <w:rFonts w:asciiTheme="majorHAnsi" w:hAnsiTheme="majorHAnsi"/>
        </w:rPr>
      </w:pPr>
      <w:r w:rsidRPr="005C456C">
        <w:rPr>
          <w:rFonts w:asciiTheme="majorHAnsi" w:hAnsiTheme="majorHAnsi"/>
          <w:noProof/>
          <w:lang w:val="en-US" w:eastAsia="en-US"/>
        </w:rPr>
        <w:drawing>
          <wp:inline distT="0" distB="0" distL="0" distR="0" wp14:anchorId="1EFD5BDA" wp14:editId="78B96CEB">
            <wp:extent cx="6593205" cy="3746500"/>
            <wp:effectExtent l="0" t="0" r="0" b="635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6593460" cy="3746645"/>
                    </a:xfrm>
                    <a:prstGeom prst="rect">
                      <a:avLst/>
                    </a:prstGeom>
                    <a:noFill/>
                  </pic:spPr>
                </pic:pic>
              </a:graphicData>
            </a:graphic>
          </wp:inline>
        </w:drawing>
      </w:r>
    </w:p>
    <w:p w:rsidR="00B8580A" w:rsidRPr="00B8580A" w:rsidRDefault="001B78B5" w:rsidP="00460C2C">
      <w:pPr>
        <w:pStyle w:val="Corpotesto"/>
        <w:spacing w:after="280"/>
        <w:rPr>
          <w:rFonts w:asciiTheme="majorHAnsi" w:hAnsiTheme="majorHAnsi"/>
        </w:rPr>
      </w:pPr>
      <w:r w:rsidRPr="00B8580A">
        <w:rPr>
          <w:rFonts w:asciiTheme="majorHAnsi" w:hAnsiTheme="majorHAnsi"/>
        </w:rPr>
        <w:t>Below is</w:t>
      </w:r>
      <w:r w:rsidR="00B8580A" w:rsidRPr="00B8580A">
        <w:rPr>
          <w:rFonts w:asciiTheme="majorHAnsi" w:hAnsiTheme="majorHAnsi"/>
        </w:rPr>
        <w:t xml:space="preserve"> </w:t>
      </w:r>
      <w:r w:rsidRPr="00B8580A">
        <w:rPr>
          <w:rFonts w:asciiTheme="majorHAnsi" w:hAnsiTheme="majorHAnsi"/>
        </w:rPr>
        <w:t>the sales plan for Institutional Investor</w:t>
      </w:r>
      <w:r w:rsidR="004D6361" w:rsidRPr="00B8580A">
        <w:rPr>
          <w:rFonts w:asciiTheme="majorHAnsi" w:hAnsiTheme="majorHAnsi"/>
        </w:rPr>
        <w:t>s</w:t>
      </w:r>
      <w:r w:rsidRPr="00B8580A">
        <w:rPr>
          <w:rFonts w:asciiTheme="majorHAnsi" w:hAnsiTheme="majorHAnsi"/>
        </w:rPr>
        <w:t xml:space="preserve"> that aim</w:t>
      </w:r>
      <w:r w:rsidR="004D6361" w:rsidRPr="00B8580A">
        <w:rPr>
          <w:rFonts w:asciiTheme="majorHAnsi" w:hAnsiTheme="majorHAnsi"/>
        </w:rPr>
        <w:t>s</w:t>
      </w:r>
      <w:r w:rsidRPr="00B8580A">
        <w:rPr>
          <w:rFonts w:asciiTheme="majorHAnsi" w:hAnsiTheme="majorHAnsi"/>
        </w:rPr>
        <w:t xml:space="preserve"> to manage their funds with a less strict direction by</w:t>
      </w:r>
      <w:r w:rsidR="004D6361" w:rsidRPr="00B8580A">
        <w:rPr>
          <w:rFonts w:asciiTheme="majorHAnsi" w:hAnsiTheme="majorHAnsi"/>
        </w:rPr>
        <w:t xml:space="preserve"> the</w:t>
      </w:r>
      <w:r w:rsidRPr="00B8580A">
        <w:rPr>
          <w:rFonts w:asciiTheme="majorHAnsi" w:hAnsiTheme="majorHAnsi"/>
        </w:rPr>
        <w:t xml:space="preserve"> HATS system.</w:t>
      </w:r>
    </w:p>
    <w:p w:rsidR="00B8580A" w:rsidRDefault="00E35605" w:rsidP="00460C2C">
      <w:pPr>
        <w:pStyle w:val="Corpotesto"/>
        <w:spacing w:after="280"/>
        <w:rPr>
          <w:rFonts w:asciiTheme="majorHAnsi" w:hAnsiTheme="majorHAnsi"/>
        </w:rPr>
      </w:pPr>
      <w:r>
        <w:rPr>
          <w:noProof/>
          <w:lang w:val="en-US" w:eastAsia="en-US"/>
        </w:rPr>
        <w:lastRenderedPageBreak/>
        <w:drawing>
          <wp:inline distT="0" distB="0" distL="0" distR="0">
            <wp:extent cx="6370955" cy="24003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389824" cy="2407409"/>
                    </a:xfrm>
                    <a:prstGeom prst="rect">
                      <a:avLst/>
                    </a:prstGeom>
                    <a:noFill/>
                  </pic:spPr>
                </pic:pic>
              </a:graphicData>
            </a:graphic>
          </wp:inline>
        </w:drawing>
      </w:r>
    </w:p>
    <w:p w:rsidR="004B110F" w:rsidRPr="003C15AA" w:rsidRDefault="001B78B5" w:rsidP="00460C2C">
      <w:pPr>
        <w:pStyle w:val="Titolo2"/>
        <w:rPr>
          <w:rFonts w:ascii="Franklin Gothic Demi" w:eastAsia="Times New Roman" w:hAnsi="Franklin Gothic Demi" w:cs="Times New Roman"/>
          <w:b w:val="0"/>
          <w:bCs w:val="0"/>
          <w:iCs w:val="0"/>
          <w:color w:val="018BB3"/>
          <w:spacing w:val="26"/>
          <w:szCs w:val="36"/>
        </w:rPr>
      </w:pPr>
      <w:bookmarkStart w:id="60" w:name="_Toc256000085"/>
      <w:bookmarkStart w:id="61" w:name="_Toc256000066"/>
      <w:bookmarkStart w:id="62" w:name="_Toc256000047"/>
      <w:bookmarkStart w:id="63" w:name="_Toc256000028"/>
      <w:bookmarkStart w:id="64" w:name="_Toc256000009"/>
      <w:bookmarkStart w:id="65" w:name="_Toc523440000"/>
      <w:r w:rsidRPr="003C15AA">
        <w:rPr>
          <w:rFonts w:ascii="Franklin Gothic Demi" w:eastAsia="Times New Roman" w:hAnsi="Franklin Gothic Demi" w:cs="Times New Roman"/>
          <w:b w:val="0"/>
          <w:bCs w:val="0"/>
          <w:iCs w:val="0"/>
          <w:color w:val="018BB3"/>
          <w:spacing w:val="26"/>
          <w:szCs w:val="36"/>
        </w:rPr>
        <w:t>Operations</w:t>
      </w:r>
      <w:bookmarkEnd w:id="60"/>
      <w:bookmarkEnd w:id="61"/>
      <w:bookmarkEnd w:id="62"/>
      <w:bookmarkEnd w:id="63"/>
      <w:bookmarkEnd w:id="64"/>
      <w:bookmarkEnd w:id="65"/>
    </w:p>
    <w:p w:rsidR="004B110F" w:rsidRPr="00216DDE" w:rsidRDefault="00216DDE" w:rsidP="00460C2C">
      <w:pPr>
        <w:pStyle w:val="Titolo3"/>
        <w:spacing w:after="280"/>
        <w:rPr>
          <w:rFonts w:asciiTheme="majorHAnsi" w:hAnsiTheme="majorHAnsi"/>
          <w:szCs w:val="28"/>
        </w:rPr>
      </w:pPr>
      <w:r w:rsidRPr="00216DDE">
        <w:rPr>
          <w:rFonts w:asciiTheme="majorHAnsi" w:hAnsiTheme="majorHAnsi"/>
          <w:szCs w:val="28"/>
        </w:rPr>
        <w:t>PARTNERS &amp; RESOURCES</w:t>
      </w:r>
    </w:p>
    <w:p w:rsidR="004B110F" w:rsidRPr="00216DDE" w:rsidRDefault="004D6361" w:rsidP="00460C2C">
      <w:pPr>
        <w:pStyle w:val="Corpotesto"/>
        <w:spacing w:after="280"/>
        <w:rPr>
          <w:rFonts w:asciiTheme="majorHAnsi" w:hAnsiTheme="majorHAnsi"/>
        </w:rPr>
      </w:pPr>
      <w:r w:rsidRPr="00216DDE">
        <w:rPr>
          <w:rFonts w:asciiTheme="majorHAnsi" w:hAnsiTheme="majorHAnsi"/>
        </w:rPr>
        <w:t xml:space="preserve">CFX is </w:t>
      </w:r>
      <w:r w:rsidR="001B78B5" w:rsidRPr="00216DDE">
        <w:rPr>
          <w:rFonts w:asciiTheme="majorHAnsi" w:hAnsiTheme="majorHAnsi"/>
        </w:rPr>
        <w:t>finding the most reputable partners in every field of</w:t>
      </w:r>
      <w:r w:rsidRPr="00216DDE">
        <w:rPr>
          <w:rFonts w:asciiTheme="majorHAnsi" w:hAnsiTheme="majorHAnsi"/>
        </w:rPr>
        <w:t xml:space="preserve"> operation, with </w:t>
      </w:r>
      <w:r w:rsidR="00272F82" w:rsidRPr="00216DDE">
        <w:rPr>
          <w:rFonts w:asciiTheme="majorHAnsi" w:hAnsiTheme="majorHAnsi"/>
        </w:rPr>
        <w:t xml:space="preserve">a </w:t>
      </w:r>
      <w:r w:rsidRPr="00216DDE">
        <w:rPr>
          <w:rFonts w:asciiTheme="majorHAnsi" w:hAnsiTheme="majorHAnsi"/>
          <w:noProof/>
        </w:rPr>
        <w:t>special</w:t>
      </w:r>
      <w:r w:rsidRPr="00216DDE">
        <w:rPr>
          <w:rFonts w:asciiTheme="majorHAnsi" w:hAnsiTheme="majorHAnsi"/>
        </w:rPr>
        <w:t xml:space="preserve"> focus on</w:t>
      </w:r>
      <w:r w:rsidR="001B78B5" w:rsidRPr="00216DDE">
        <w:rPr>
          <w:rFonts w:asciiTheme="majorHAnsi" w:hAnsiTheme="majorHAnsi"/>
        </w:rPr>
        <w:t xml:space="preserve"> investment forecast and trading.</w:t>
      </w:r>
    </w:p>
    <w:p w:rsidR="0016590F" w:rsidRPr="00216DDE" w:rsidRDefault="001B78B5" w:rsidP="00460C2C">
      <w:pPr>
        <w:pStyle w:val="Corpotesto"/>
        <w:spacing w:after="280"/>
        <w:rPr>
          <w:rFonts w:asciiTheme="majorHAnsi" w:hAnsiTheme="majorHAnsi"/>
        </w:rPr>
      </w:pPr>
      <w:r w:rsidRPr="00216DDE">
        <w:rPr>
          <w:rFonts w:asciiTheme="majorHAnsi" w:hAnsiTheme="majorHAnsi"/>
          <w:b/>
          <w:bCs/>
        </w:rPr>
        <w:t xml:space="preserve">A) Blockchain and Token technologies and </w:t>
      </w:r>
      <w:r w:rsidRPr="00216DDE">
        <w:rPr>
          <w:rFonts w:asciiTheme="majorHAnsi" w:hAnsiTheme="majorHAnsi"/>
          <w:b/>
          <w:bCs/>
          <w:noProof/>
        </w:rPr>
        <w:t>practi</w:t>
      </w:r>
      <w:r w:rsidR="00272F82" w:rsidRPr="00216DDE">
        <w:rPr>
          <w:rFonts w:asciiTheme="majorHAnsi" w:hAnsiTheme="majorHAnsi"/>
          <w:b/>
          <w:bCs/>
          <w:noProof/>
        </w:rPr>
        <w:t>c</w:t>
      </w:r>
      <w:r w:rsidRPr="00216DDE">
        <w:rPr>
          <w:rFonts w:asciiTheme="majorHAnsi" w:hAnsiTheme="majorHAnsi"/>
          <w:b/>
          <w:bCs/>
          <w:noProof/>
        </w:rPr>
        <w:t>es</w:t>
      </w:r>
      <w:r w:rsidRPr="00216DDE">
        <w:rPr>
          <w:rFonts w:asciiTheme="majorHAnsi" w:hAnsiTheme="majorHAnsi"/>
          <w:b/>
          <w:bCs/>
        </w:rPr>
        <w:t xml:space="preserve">: ICO </w:t>
      </w:r>
      <w:r w:rsidRPr="007208E6">
        <w:rPr>
          <w:rFonts w:asciiTheme="majorHAnsi" w:hAnsiTheme="majorHAnsi"/>
          <w:b/>
          <w:bCs/>
          <w:noProof/>
        </w:rPr>
        <w:t>MALTA</w:t>
      </w:r>
    </w:p>
    <w:p w:rsidR="0016590F" w:rsidRPr="00216DDE" w:rsidRDefault="001B78B5" w:rsidP="00460C2C">
      <w:pPr>
        <w:pStyle w:val="Corpotesto"/>
        <w:numPr>
          <w:ilvl w:val="0"/>
          <w:numId w:val="3"/>
        </w:numPr>
        <w:rPr>
          <w:rFonts w:asciiTheme="majorHAnsi" w:hAnsiTheme="majorHAnsi"/>
        </w:rPr>
      </w:pPr>
      <w:r w:rsidRPr="00216DDE">
        <w:rPr>
          <w:rFonts w:asciiTheme="majorHAnsi" w:hAnsiTheme="majorHAnsi"/>
        </w:rPr>
        <w:t>ICO Malta has been created by the Blockchain and ICO expert Jan Sammut</w:t>
      </w:r>
      <w:r w:rsidR="004D6361" w:rsidRPr="00216DDE">
        <w:rPr>
          <w:rFonts w:asciiTheme="majorHAnsi" w:hAnsiTheme="majorHAnsi"/>
        </w:rPr>
        <w:t xml:space="preserve"> to</w:t>
      </w:r>
      <w:r w:rsidRPr="00216DDE">
        <w:rPr>
          <w:rFonts w:asciiTheme="majorHAnsi" w:hAnsiTheme="majorHAnsi"/>
        </w:rPr>
        <w:t xml:space="preserve"> deliver state of the art Blockchain and ICO management </w:t>
      </w:r>
      <w:r w:rsidRPr="00216DDE">
        <w:rPr>
          <w:rFonts w:asciiTheme="majorHAnsi" w:hAnsiTheme="majorHAnsi"/>
          <w:noProof/>
        </w:rPr>
        <w:t>software</w:t>
      </w:r>
      <w:r w:rsidRPr="00216DDE">
        <w:rPr>
          <w:rFonts w:asciiTheme="majorHAnsi" w:hAnsiTheme="majorHAnsi"/>
        </w:rPr>
        <w:t xml:space="preserve"> and platforms, as well as consultancy over </w:t>
      </w:r>
      <w:r w:rsidRPr="00216DDE">
        <w:rPr>
          <w:rFonts w:asciiTheme="majorHAnsi" w:hAnsiTheme="majorHAnsi"/>
          <w:noProof/>
        </w:rPr>
        <w:t>del</w:t>
      </w:r>
      <w:r w:rsidR="00272F82" w:rsidRPr="00216DDE">
        <w:rPr>
          <w:rFonts w:asciiTheme="majorHAnsi" w:hAnsiTheme="majorHAnsi"/>
          <w:noProof/>
        </w:rPr>
        <w:t>ic</w:t>
      </w:r>
      <w:r w:rsidRPr="00216DDE">
        <w:rPr>
          <w:rFonts w:asciiTheme="majorHAnsi" w:hAnsiTheme="majorHAnsi"/>
          <w:noProof/>
        </w:rPr>
        <w:t>ate</w:t>
      </w:r>
      <w:r w:rsidRPr="00216DDE">
        <w:rPr>
          <w:rFonts w:asciiTheme="majorHAnsi" w:hAnsiTheme="majorHAnsi"/>
        </w:rPr>
        <w:t xml:space="preserve"> regulatory issues.</w:t>
      </w:r>
    </w:p>
    <w:p w:rsidR="0016590F" w:rsidRPr="00216DDE" w:rsidRDefault="001B78B5" w:rsidP="00460C2C">
      <w:pPr>
        <w:pStyle w:val="Corpotesto"/>
        <w:spacing w:after="280"/>
        <w:rPr>
          <w:rFonts w:asciiTheme="majorHAnsi" w:hAnsiTheme="majorHAnsi"/>
        </w:rPr>
      </w:pPr>
      <w:r w:rsidRPr="00216DDE">
        <w:rPr>
          <w:rFonts w:asciiTheme="majorHAnsi" w:hAnsiTheme="majorHAnsi"/>
          <w:b/>
          <w:bCs/>
        </w:rPr>
        <w:t>B) Big data of finance information: Ivano Menabue</w:t>
      </w:r>
    </w:p>
    <w:p w:rsidR="0016590F" w:rsidRPr="00216DDE" w:rsidRDefault="001B78B5" w:rsidP="00460C2C">
      <w:pPr>
        <w:pStyle w:val="Corpotesto"/>
        <w:rPr>
          <w:rFonts w:asciiTheme="majorHAnsi" w:hAnsiTheme="majorHAnsi"/>
        </w:rPr>
      </w:pPr>
      <w:r w:rsidRPr="00216DDE">
        <w:rPr>
          <w:rFonts w:asciiTheme="majorHAnsi" w:hAnsiTheme="majorHAnsi"/>
        </w:rPr>
        <w:t xml:space="preserve">Ivano has a long history with the CEO of CFX in the </w:t>
      </w:r>
      <w:r w:rsidRPr="005C456C">
        <w:rPr>
          <w:rFonts w:asciiTheme="majorHAnsi" w:hAnsiTheme="majorHAnsi"/>
          <w:noProof/>
        </w:rPr>
        <w:t>development</w:t>
      </w:r>
      <w:r w:rsidR="005C456C">
        <w:rPr>
          <w:rFonts w:asciiTheme="majorHAnsi" w:hAnsiTheme="majorHAnsi"/>
          <w:noProof/>
        </w:rPr>
        <w:t xml:space="preserve"> </w:t>
      </w:r>
      <w:r w:rsidRPr="005C456C">
        <w:rPr>
          <w:rFonts w:asciiTheme="majorHAnsi" w:hAnsiTheme="majorHAnsi"/>
          <w:noProof/>
        </w:rPr>
        <w:t>of</w:t>
      </w:r>
      <w:r w:rsidRPr="00216DDE">
        <w:rPr>
          <w:rFonts w:asciiTheme="majorHAnsi" w:hAnsiTheme="majorHAnsi"/>
        </w:rPr>
        <w:t xml:space="preserve"> financial B</w:t>
      </w:r>
      <w:r w:rsidR="005C456C">
        <w:rPr>
          <w:rFonts w:asciiTheme="majorHAnsi" w:hAnsiTheme="majorHAnsi"/>
        </w:rPr>
        <w:t>ig</w:t>
      </w:r>
      <w:r w:rsidR="004D6361" w:rsidRPr="00216DDE">
        <w:rPr>
          <w:rFonts w:asciiTheme="majorHAnsi" w:hAnsiTheme="majorHAnsi"/>
        </w:rPr>
        <w:t xml:space="preserve"> D</w:t>
      </w:r>
      <w:r w:rsidR="005C456C">
        <w:rPr>
          <w:rFonts w:asciiTheme="majorHAnsi" w:hAnsiTheme="majorHAnsi"/>
        </w:rPr>
        <w:t>atabase</w:t>
      </w:r>
      <w:r w:rsidR="004D6361" w:rsidRPr="00216DDE">
        <w:rPr>
          <w:rFonts w:asciiTheme="majorHAnsi" w:hAnsiTheme="majorHAnsi"/>
        </w:rPr>
        <w:t xml:space="preserve"> that has evolved </w:t>
      </w:r>
      <w:r w:rsidRPr="00216DDE">
        <w:rPr>
          <w:rFonts w:asciiTheme="majorHAnsi" w:hAnsiTheme="majorHAnsi"/>
        </w:rPr>
        <w:t>over 15 years</w:t>
      </w:r>
      <w:r w:rsidR="004D6361" w:rsidRPr="00216DDE">
        <w:rPr>
          <w:rFonts w:asciiTheme="majorHAnsi" w:hAnsiTheme="majorHAnsi"/>
        </w:rPr>
        <w:t>. T</w:t>
      </w:r>
      <w:r w:rsidRPr="00216DDE">
        <w:rPr>
          <w:rFonts w:asciiTheme="majorHAnsi" w:hAnsiTheme="majorHAnsi"/>
        </w:rPr>
        <w:t>he database allows a profound a</w:t>
      </w:r>
      <w:r w:rsidR="004D6361" w:rsidRPr="00216DDE">
        <w:rPr>
          <w:rFonts w:asciiTheme="majorHAnsi" w:hAnsiTheme="majorHAnsi"/>
        </w:rPr>
        <w:t>nalysis of</w:t>
      </w:r>
      <w:r w:rsidRPr="00216DDE">
        <w:rPr>
          <w:rFonts w:asciiTheme="majorHAnsi" w:hAnsiTheme="majorHAnsi"/>
        </w:rPr>
        <w:t xml:space="preserve"> deep </w:t>
      </w:r>
      <w:r w:rsidR="004D6361" w:rsidRPr="00216DDE">
        <w:rPr>
          <w:rFonts w:asciiTheme="majorHAnsi" w:hAnsiTheme="majorHAnsi"/>
        </w:rPr>
        <w:t xml:space="preserve">market </w:t>
      </w:r>
      <w:r w:rsidRPr="00216DDE">
        <w:rPr>
          <w:rFonts w:asciiTheme="majorHAnsi" w:hAnsiTheme="majorHAnsi"/>
        </w:rPr>
        <w:t xml:space="preserve">information, giving high-level forecasting embedded into proprietary trading systems that </w:t>
      </w:r>
      <w:r w:rsidRPr="00216DDE">
        <w:rPr>
          <w:rFonts w:asciiTheme="majorHAnsi" w:hAnsiTheme="majorHAnsi"/>
          <w:noProof/>
        </w:rPr>
        <w:t>ha</w:t>
      </w:r>
      <w:r w:rsidR="00272F82" w:rsidRPr="00216DDE">
        <w:rPr>
          <w:rFonts w:asciiTheme="majorHAnsi" w:hAnsiTheme="majorHAnsi"/>
          <w:noProof/>
        </w:rPr>
        <w:t>ve</w:t>
      </w:r>
      <w:r w:rsidRPr="00216DDE">
        <w:rPr>
          <w:rFonts w:asciiTheme="majorHAnsi" w:hAnsiTheme="majorHAnsi"/>
        </w:rPr>
        <w:t xml:space="preserve"> been in use for ten</w:t>
      </w:r>
      <w:r w:rsidR="00FA0311" w:rsidRPr="00216DDE">
        <w:rPr>
          <w:rFonts w:asciiTheme="majorHAnsi" w:hAnsiTheme="majorHAnsi"/>
        </w:rPr>
        <w:t xml:space="preserve"> plus</w:t>
      </w:r>
      <w:r w:rsidRPr="00216DDE">
        <w:rPr>
          <w:rFonts w:asciiTheme="majorHAnsi" w:hAnsiTheme="majorHAnsi"/>
        </w:rPr>
        <w:t xml:space="preserve"> years by HNWI, institutional traders</w:t>
      </w:r>
      <w:r w:rsidR="00FA0311" w:rsidRPr="00216DDE">
        <w:rPr>
          <w:rFonts w:asciiTheme="majorHAnsi" w:hAnsiTheme="majorHAnsi"/>
        </w:rPr>
        <w:t>,</w:t>
      </w:r>
      <w:r w:rsidRPr="00216DDE">
        <w:rPr>
          <w:rFonts w:asciiTheme="majorHAnsi" w:hAnsiTheme="majorHAnsi"/>
        </w:rPr>
        <w:t xml:space="preserve"> and money managers.</w:t>
      </w:r>
    </w:p>
    <w:p w:rsidR="0016590F" w:rsidRPr="00216DDE" w:rsidRDefault="001B78B5" w:rsidP="00460C2C">
      <w:pPr>
        <w:pStyle w:val="Corpotesto"/>
        <w:spacing w:after="280"/>
        <w:rPr>
          <w:rFonts w:asciiTheme="majorHAnsi" w:hAnsiTheme="majorHAnsi"/>
        </w:rPr>
      </w:pPr>
      <w:r w:rsidRPr="00216DDE">
        <w:rPr>
          <w:rFonts w:asciiTheme="majorHAnsi" w:hAnsiTheme="majorHAnsi"/>
          <w:b/>
          <w:bCs/>
        </w:rPr>
        <w:t>C) Financial platform and trading systems</w:t>
      </w:r>
    </w:p>
    <w:p w:rsidR="0016590F" w:rsidRPr="00216DDE" w:rsidRDefault="001B78B5" w:rsidP="00460C2C">
      <w:pPr>
        <w:pStyle w:val="Corpotesto"/>
        <w:rPr>
          <w:rFonts w:asciiTheme="majorHAnsi" w:hAnsiTheme="majorHAnsi"/>
        </w:rPr>
      </w:pPr>
      <w:r w:rsidRPr="00216DDE">
        <w:rPr>
          <w:rFonts w:asciiTheme="majorHAnsi" w:hAnsiTheme="majorHAnsi"/>
        </w:rPr>
        <w:t xml:space="preserve">Four different proprietary systems that range from intraday operation to daily, weekly and monthly </w:t>
      </w:r>
      <w:r w:rsidR="00B817EE" w:rsidRPr="00216DDE">
        <w:rPr>
          <w:rFonts w:asciiTheme="majorHAnsi" w:hAnsiTheme="majorHAnsi"/>
        </w:rPr>
        <w:t xml:space="preserve">strategies on every asset class, </w:t>
      </w:r>
      <w:r w:rsidRPr="00216DDE">
        <w:rPr>
          <w:rFonts w:asciiTheme="majorHAnsi" w:hAnsiTheme="majorHAnsi"/>
        </w:rPr>
        <w:t xml:space="preserve">taken from big private institutions for their own liquidity. These </w:t>
      </w:r>
      <w:r w:rsidRPr="00216DDE">
        <w:rPr>
          <w:rFonts w:asciiTheme="majorHAnsi" w:hAnsiTheme="majorHAnsi"/>
        </w:rPr>
        <w:lastRenderedPageBreak/>
        <w:t>institutions trade the market against aver</w:t>
      </w:r>
      <w:r w:rsidR="003803E4" w:rsidRPr="00216DDE">
        <w:rPr>
          <w:rFonts w:asciiTheme="majorHAnsi" w:hAnsiTheme="majorHAnsi"/>
        </w:rPr>
        <w:t xml:space="preserve">age people and also against </w:t>
      </w:r>
      <w:r w:rsidRPr="00216DDE">
        <w:rPr>
          <w:rFonts w:asciiTheme="majorHAnsi" w:hAnsiTheme="majorHAnsi"/>
        </w:rPr>
        <w:t>big funds so that they retain most of the profits.</w:t>
      </w:r>
    </w:p>
    <w:p w:rsidR="0016590F" w:rsidRPr="00216DDE" w:rsidRDefault="001B78B5" w:rsidP="00460C2C">
      <w:pPr>
        <w:pStyle w:val="Corpotesto"/>
        <w:spacing w:after="280"/>
        <w:rPr>
          <w:rFonts w:asciiTheme="majorHAnsi" w:hAnsiTheme="majorHAnsi"/>
        </w:rPr>
      </w:pPr>
      <w:r w:rsidRPr="00216DDE">
        <w:rPr>
          <w:rFonts w:asciiTheme="majorHAnsi" w:hAnsiTheme="majorHAnsi"/>
        </w:rPr>
        <w:t>Partners cannot be disclosed at present.</w:t>
      </w:r>
    </w:p>
    <w:p w:rsidR="0016590F" w:rsidRPr="00F5347A" w:rsidRDefault="001B78B5" w:rsidP="00460C2C">
      <w:pPr>
        <w:pStyle w:val="Corpotesto"/>
        <w:spacing w:after="280"/>
        <w:rPr>
          <w:rFonts w:asciiTheme="majorHAnsi" w:hAnsiTheme="majorHAnsi"/>
          <w:b/>
        </w:rPr>
      </w:pPr>
      <w:r w:rsidRPr="00F5347A">
        <w:rPr>
          <w:rFonts w:asciiTheme="majorHAnsi" w:hAnsiTheme="majorHAnsi"/>
          <w:b/>
        </w:rPr>
        <w:t>Each of the</w:t>
      </w:r>
      <w:r w:rsidR="003803E4" w:rsidRPr="00F5347A">
        <w:rPr>
          <w:rFonts w:asciiTheme="majorHAnsi" w:hAnsiTheme="majorHAnsi"/>
          <w:b/>
        </w:rPr>
        <w:t xml:space="preserve"> four partners </w:t>
      </w:r>
      <w:r w:rsidR="003803E4" w:rsidRPr="00F5347A">
        <w:rPr>
          <w:rFonts w:asciiTheme="majorHAnsi" w:hAnsiTheme="majorHAnsi"/>
          <w:b/>
          <w:noProof/>
        </w:rPr>
        <w:t>ha</w:t>
      </w:r>
      <w:r w:rsidR="00272F82" w:rsidRPr="00F5347A">
        <w:rPr>
          <w:rFonts w:asciiTheme="majorHAnsi" w:hAnsiTheme="majorHAnsi"/>
          <w:b/>
          <w:noProof/>
        </w:rPr>
        <w:t>s</w:t>
      </w:r>
      <w:r w:rsidRPr="00F5347A">
        <w:rPr>
          <w:rFonts w:asciiTheme="majorHAnsi" w:hAnsiTheme="majorHAnsi"/>
          <w:b/>
        </w:rPr>
        <w:t xml:space="preserve"> these unique resources:</w:t>
      </w:r>
    </w:p>
    <w:p w:rsidR="0016590F" w:rsidRPr="00216DDE" w:rsidRDefault="001B78B5" w:rsidP="00460C2C">
      <w:pPr>
        <w:pStyle w:val="Corpotesto"/>
        <w:numPr>
          <w:ilvl w:val="0"/>
          <w:numId w:val="4"/>
        </w:numPr>
        <w:rPr>
          <w:rFonts w:asciiTheme="majorHAnsi" w:hAnsiTheme="majorHAnsi"/>
        </w:rPr>
      </w:pPr>
      <w:r w:rsidRPr="00216DDE">
        <w:rPr>
          <w:rFonts w:asciiTheme="majorHAnsi" w:hAnsiTheme="majorHAnsi"/>
        </w:rPr>
        <w:t>A long-term tested forecasting platform</w:t>
      </w:r>
    </w:p>
    <w:p w:rsidR="0016590F" w:rsidRPr="00216DDE" w:rsidRDefault="001B78B5" w:rsidP="00460C2C">
      <w:pPr>
        <w:pStyle w:val="Corpotesto"/>
        <w:numPr>
          <w:ilvl w:val="0"/>
          <w:numId w:val="4"/>
        </w:numPr>
        <w:rPr>
          <w:rFonts w:asciiTheme="majorHAnsi" w:hAnsiTheme="majorHAnsi"/>
        </w:rPr>
      </w:pPr>
      <w:r w:rsidRPr="00216DDE">
        <w:rPr>
          <w:rFonts w:asciiTheme="majorHAnsi" w:hAnsiTheme="majorHAnsi"/>
        </w:rPr>
        <w:t>Trading systems with outstanding performance and proven track record</w:t>
      </w:r>
    </w:p>
    <w:p w:rsidR="0016590F" w:rsidRPr="00216DDE" w:rsidRDefault="001B78B5" w:rsidP="00460C2C">
      <w:pPr>
        <w:pStyle w:val="Corpotesto"/>
        <w:numPr>
          <w:ilvl w:val="0"/>
          <w:numId w:val="4"/>
        </w:numPr>
        <w:rPr>
          <w:rFonts w:asciiTheme="majorHAnsi" w:hAnsiTheme="majorHAnsi"/>
        </w:rPr>
      </w:pPr>
      <w:r w:rsidRPr="00216DDE">
        <w:rPr>
          <w:rFonts w:asciiTheme="majorHAnsi" w:hAnsiTheme="majorHAnsi"/>
        </w:rPr>
        <w:t>Technological structure with multiple servers around the globe</w:t>
      </w:r>
    </w:p>
    <w:p w:rsidR="0016590F" w:rsidRPr="00216DDE" w:rsidRDefault="003803E4" w:rsidP="00460C2C">
      <w:pPr>
        <w:pStyle w:val="Corpotesto"/>
        <w:numPr>
          <w:ilvl w:val="0"/>
          <w:numId w:val="4"/>
        </w:numPr>
        <w:rPr>
          <w:rFonts w:asciiTheme="majorHAnsi" w:hAnsiTheme="majorHAnsi"/>
        </w:rPr>
      </w:pPr>
      <w:r w:rsidRPr="00216DDE">
        <w:rPr>
          <w:rFonts w:asciiTheme="majorHAnsi" w:hAnsiTheme="majorHAnsi"/>
        </w:rPr>
        <w:t>L</w:t>
      </w:r>
      <w:r w:rsidR="001B78B5" w:rsidRPr="00216DDE">
        <w:rPr>
          <w:rFonts w:asciiTheme="majorHAnsi" w:hAnsiTheme="majorHAnsi"/>
        </w:rPr>
        <w:t>ong-term BIG DATA of financial information</w:t>
      </w:r>
    </w:p>
    <w:p w:rsidR="00216DDE" w:rsidRPr="003354B4" w:rsidRDefault="001B78B5" w:rsidP="00460C2C">
      <w:pPr>
        <w:pStyle w:val="Corpotesto"/>
        <w:numPr>
          <w:ilvl w:val="0"/>
          <w:numId w:val="4"/>
        </w:numPr>
        <w:spacing w:after="280"/>
        <w:rPr>
          <w:rFonts w:asciiTheme="majorHAnsi" w:hAnsiTheme="majorHAnsi"/>
        </w:rPr>
      </w:pPr>
      <w:r w:rsidRPr="00216DDE">
        <w:rPr>
          <w:rFonts w:asciiTheme="majorHAnsi" w:hAnsiTheme="majorHAnsi"/>
        </w:rPr>
        <w:t>Artificial intelligence software.</w:t>
      </w:r>
    </w:p>
    <w:p w:rsidR="0016590F" w:rsidRPr="00216DDE" w:rsidRDefault="00B43C82" w:rsidP="00460C2C">
      <w:pPr>
        <w:pStyle w:val="Corpotesto"/>
        <w:spacing w:after="280"/>
        <w:rPr>
          <w:rFonts w:asciiTheme="majorHAnsi" w:hAnsiTheme="majorHAnsi"/>
        </w:rPr>
      </w:pPr>
      <w:r w:rsidRPr="00216DDE">
        <w:rPr>
          <w:rFonts w:asciiTheme="majorHAnsi" w:hAnsiTheme="majorHAnsi"/>
          <w:b/>
          <w:bCs/>
        </w:rPr>
        <w:t>D) Artificial I</w:t>
      </w:r>
      <w:r w:rsidR="001B78B5" w:rsidRPr="00216DDE">
        <w:rPr>
          <w:rFonts w:asciiTheme="majorHAnsi" w:hAnsiTheme="majorHAnsi"/>
          <w:b/>
          <w:bCs/>
        </w:rPr>
        <w:t>ntelligence support: TBD</w:t>
      </w:r>
    </w:p>
    <w:p w:rsidR="0016590F" w:rsidRPr="00216DDE" w:rsidRDefault="001B78B5" w:rsidP="00460C2C">
      <w:pPr>
        <w:pStyle w:val="Corpotesto"/>
        <w:rPr>
          <w:rFonts w:asciiTheme="majorHAnsi" w:hAnsiTheme="majorHAnsi"/>
        </w:rPr>
      </w:pPr>
      <w:r w:rsidRPr="00216DDE">
        <w:rPr>
          <w:rFonts w:asciiTheme="majorHAnsi" w:hAnsiTheme="majorHAnsi"/>
        </w:rPr>
        <w:t xml:space="preserve">Every system has its own </w:t>
      </w:r>
      <w:r w:rsidR="003803E4" w:rsidRPr="00216DDE">
        <w:rPr>
          <w:rFonts w:asciiTheme="majorHAnsi" w:hAnsiTheme="majorHAnsi"/>
        </w:rPr>
        <w:t>artificial intelligence engine. One</w:t>
      </w:r>
      <w:r w:rsidRPr="00216DDE">
        <w:rPr>
          <w:rFonts w:asciiTheme="majorHAnsi" w:hAnsiTheme="majorHAnsi"/>
        </w:rPr>
        <w:t xml:space="preserve"> specialized partner will </w:t>
      </w:r>
      <w:r w:rsidR="003803E4" w:rsidRPr="00216DDE">
        <w:rPr>
          <w:rFonts w:asciiTheme="majorHAnsi" w:hAnsiTheme="majorHAnsi"/>
        </w:rPr>
        <w:t xml:space="preserve">find the </w:t>
      </w:r>
      <w:r w:rsidRPr="00216DDE">
        <w:rPr>
          <w:rFonts w:asciiTheme="majorHAnsi" w:hAnsiTheme="majorHAnsi"/>
        </w:rPr>
        <w:t xml:space="preserve">best fit of all </w:t>
      </w:r>
      <w:r w:rsidR="003803E4" w:rsidRPr="00216DDE">
        <w:rPr>
          <w:rFonts w:asciiTheme="majorHAnsi" w:hAnsiTheme="majorHAnsi"/>
        </w:rPr>
        <w:t xml:space="preserve">of the </w:t>
      </w:r>
      <w:r w:rsidRPr="00216DDE">
        <w:rPr>
          <w:rFonts w:asciiTheme="majorHAnsi" w:hAnsiTheme="majorHAnsi"/>
        </w:rPr>
        <w:t>systems</w:t>
      </w:r>
      <w:r w:rsidR="003803E4" w:rsidRPr="00216DDE">
        <w:rPr>
          <w:rFonts w:asciiTheme="majorHAnsi" w:hAnsiTheme="majorHAnsi"/>
        </w:rPr>
        <w:t>’ risk/reward strengths</w:t>
      </w:r>
      <w:r w:rsidRPr="00216DDE">
        <w:rPr>
          <w:rFonts w:asciiTheme="majorHAnsi" w:hAnsiTheme="majorHAnsi"/>
        </w:rPr>
        <w:t>.</w:t>
      </w:r>
    </w:p>
    <w:p w:rsidR="003803E4" w:rsidRPr="00216DDE" w:rsidRDefault="001B78B5" w:rsidP="00460C2C">
      <w:pPr>
        <w:pStyle w:val="Corpotesto"/>
        <w:spacing w:after="280"/>
        <w:rPr>
          <w:rFonts w:asciiTheme="majorHAnsi" w:hAnsiTheme="majorHAnsi"/>
          <w:b/>
          <w:bCs/>
        </w:rPr>
      </w:pPr>
      <w:r w:rsidRPr="00216DDE">
        <w:rPr>
          <w:rFonts w:asciiTheme="majorHAnsi" w:hAnsiTheme="majorHAnsi"/>
          <w:b/>
          <w:bCs/>
        </w:rPr>
        <w:t>E) Compliance and AML procedures</w:t>
      </w:r>
    </w:p>
    <w:p w:rsidR="0016590F" w:rsidRPr="00216DDE" w:rsidRDefault="003803E4" w:rsidP="00460C2C">
      <w:pPr>
        <w:pStyle w:val="Corpotesto"/>
        <w:spacing w:after="280"/>
        <w:rPr>
          <w:rFonts w:asciiTheme="majorHAnsi" w:hAnsiTheme="majorHAnsi"/>
        </w:rPr>
      </w:pPr>
      <w:r w:rsidRPr="00216DDE">
        <w:rPr>
          <w:rFonts w:asciiTheme="majorHAnsi" w:hAnsiTheme="majorHAnsi"/>
        </w:rPr>
        <w:t xml:space="preserve">CFX will engage </w:t>
      </w:r>
      <w:r w:rsidR="001B78B5" w:rsidRPr="00216DDE">
        <w:rPr>
          <w:rFonts w:asciiTheme="majorHAnsi" w:hAnsiTheme="majorHAnsi"/>
          <w:b/>
          <w:bCs/>
        </w:rPr>
        <w:t>IT LegalLtd</w:t>
      </w:r>
      <w:r w:rsidRPr="00216DDE">
        <w:rPr>
          <w:rFonts w:asciiTheme="majorHAnsi" w:hAnsiTheme="majorHAnsi"/>
          <w:b/>
          <w:bCs/>
        </w:rPr>
        <w:t xml:space="preserve">, </w:t>
      </w:r>
      <w:r w:rsidRPr="00216DDE">
        <w:rPr>
          <w:rFonts w:asciiTheme="majorHAnsi" w:hAnsiTheme="majorHAnsi"/>
        </w:rPr>
        <w:t>a</w:t>
      </w:r>
      <w:r w:rsidR="001B78B5" w:rsidRPr="00216DDE">
        <w:rPr>
          <w:rFonts w:asciiTheme="majorHAnsi" w:hAnsiTheme="majorHAnsi"/>
        </w:rPr>
        <w:t xml:space="preserve"> company </w:t>
      </w:r>
      <w:r w:rsidRPr="00216DDE">
        <w:rPr>
          <w:rFonts w:asciiTheme="majorHAnsi" w:hAnsiTheme="majorHAnsi"/>
        </w:rPr>
        <w:t xml:space="preserve">with </w:t>
      </w:r>
      <w:r w:rsidR="001B78B5" w:rsidRPr="00216DDE">
        <w:rPr>
          <w:rFonts w:asciiTheme="majorHAnsi" w:hAnsiTheme="majorHAnsi"/>
        </w:rPr>
        <w:t xml:space="preserve">a long history in AML </w:t>
      </w:r>
      <w:r w:rsidRPr="00216DDE">
        <w:rPr>
          <w:rFonts w:asciiTheme="majorHAnsi" w:hAnsiTheme="majorHAnsi"/>
        </w:rPr>
        <w:t>in t</w:t>
      </w:r>
      <w:r w:rsidR="001B78B5" w:rsidRPr="00216DDE">
        <w:rPr>
          <w:rFonts w:asciiTheme="majorHAnsi" w:hAnsiTheme="majorHAnsi"/>
        </w:rPr>
        <w:t>he gambling sector.</w:t>
      </w:r>
    </w:p>
    <w:p w:rsidR="0016590F" w:rsidRPr="00216DDE" w:rsidRDefault="001B78B5" w:rsidP="00460C2C">
      <w:pPr>
        <w:pStyle w:val="Corpotesto"/>
        <w:spacing w:after="280"/>
        <w:rPr>
          <w:rFonts w:asciiTheme="majorHAnsi" w:hAnsiTheme="majorHAnsi"/>
        </w:rPr>
      </w:pPr>
      <w:r w:rsidRPr="00216DDE">
        <w:rPr>
          <w:rFonts w:asciiTheme="majorHAnsi" w:hAnsiTheme="majorHAnsi"/>
          <w:b/>
          <w:bCs/>
        </w:rPr>
        <w:t>F) Legal and accounting procedures: EMD consultants, Valletta - MT</w:t>
      </w:r>
    </w:p>
    <w:p w:rsidR="0016590F" w:rsidRPr="00216DDE" w:rsidRDefault="001B78B5" w:rsidP="00460C2C">
      <w:pPr>
        <w:pStyle w:val="Corpotesto"/>
        <w:numPr>
          <w:ilvl w:val="0"/>
          <w:numId w:val="5"/>
        </w:numPr>
        <w:rPr>
          <w:rFonts w:asciiTheme="majorHAnsi" w:hAnsiTheme="majorHAnsi"/>
        </w:rPr>
      </w:pPr>
      <w:r w:rsidRPr="00216DDE">
        <w:rPr>
          <w:rFonts w:asciiTheme="majorHAnsi" w:hAnsiTheme="majorHAnsi"/>
        </w:rPr>
        <w:t>EMD is a historical law and accountancy firm of Malta with over 50 people specialized in following the most complex issues both in</w:t>
      </w:r>
      <w:r w:rsidR="003803E4" w:rsidRPr="00216DDE">
        <w:rPr>
          <w:rFonts w:asciiTheme="majorHAnsi" w:hAnsiTheme="majorHAnsi"/>
        </w:rPr>
        <w:t xml:space="preserve"> the</w:t>
      </w:r>
      <w:r w:rsidRPr="00216DDE">
        <w:rPr>
          <w:rFonts w:asciiTheme="majorHAnsi" w:hAnsiTheme="majorHAnsi"/>
        </w:rPr>
        <w:t xml:space="preserve"> gambling</w:t>
      </w:r>
      <w:r w:rsidR="003803E4" w:rsidRPr="00216DDE">
        <w:rPr>
          <w:rFonts w:asciiTheme="majorHAnsi" w:hAnsiTheme="majorHAnsi"/>
        </w:rPr>
        <w:t xml:space="preserve"> and</w:t>
      </w:r>
      <w:r w:rsidRPr="00216DDE">
        <w:rPr>
          <w:rFonts w:asciiTheme="majorHAnsi" w:hAnsiTheme="majorHAnsi"/>
        </w:rPr>
        <w:t xml:space="preserve"> investment </w:t>
      </w:r>
      <w:r w:rsidRPr="005C456C">
        <w:rPr>
          <w:rFonts w:asciiTheme="majorHAnsi" w:hAnsiTheme="majorHAnsi"/>
          <w:noProof/>
        </w:rPr>
        <w:t>sector</w:t>
      </w:r>
      <w:r w:rsidR="003803E4" w:rsidRPr="005C456C">
        <w:rPr>
          <w:rFonts w:asciiTheme="majorHAnsi" w:hAnsiTheme="majorHAnsi"/>
          <w:noProof/>
        </w:rPr>
        <w:t>s</w:t>
      </w:r>
      <w:r w:rsidR="005C456C">
        <w:rPr>
          <w:rFonts w:asciiTheme="majorHAnsi" w:hAnsiTheme="majorHAnsi"/>
          <w:noProof/>
        </w:rPr>
        <w:t xml:space="preserve"> </w:t>
      </w:r>
      <w:r w:rsidRPr="005C456C">
        <w:rPr>
          <w:rFonts w:asciiTheme="majorHAnsi" w:hAnsiTheme="majorHAnsi"/>
          <w:noProof/>
        </w:rPr>
        <w:t>and</w:t>
      </w:r>
      <w:r w:rsidRPr="00216DDE">
        <w:rPr>
          <w:rFonts w:asciiTheme="majorHAnsi" w:hAnsiTheme="majorHAnsi"/>
        </w:rPr>
        <w:t xml:space="preserve"> is thoroughly updated in the new Virtual Financial Asset </w:t>
      </w:r>
      <w:r w:rsidR="00FE0249" w:rsidRPr="00216DDE">
        <w:rPr>
          <w:rFonts w:asciiTheme="majorHAnsi" w:hAnsiTheme="majorHAnsi"/>
        </w:rPr>
        <w:t xml:space="preserve">laws and Blockchain regulations </w:t>
      </w:r>
      <w:r w:rsidRPr="00216DDE">
        <w:rPr>
          <w:rFonts w:asciiTheme="majorHAnsi" w:hAnsiTheme="majorHAnsi"/>
        </w:rPr>
        <w:t>of Malta.</w:t>
      </w:r>
    </w:p>
    <w:p w:rsidR="0016590F" w:rsidRPr="00216DDE" w:rsidRDefault="001B78B5" w:rsidP="00460C2C">
      <w:pPr>
        <w:pStyle w:val="Corpotesto"/>
        <w:numPr>
          <w:ilvl w:val="0"/>
          <w:numId w:val="5"/>
        </w:numPr>
        <w:rPr>
          <w:rFonts w:asciiTheme="majorHAnsi" w:hAnsiTheme="majorHAnsi"/>
        </w:rPr>
      </w:pPr>
      <w:r w:rsidRPr="00216DDE">
        <w:rPr>
          <w:rFonts w:asciiTheme="majorHAnsi" w:hAnsiTheme="majorHAnsi"/>
        </w:rPr>
        <w:t xml:space="preserve">CFX legal registered offices are </w:t>
      </w:r>
      <w:r w:rsidR="00FE0249" w:rsidRPr="00216DDE">
        <w:rPr>
          <w:rFonts w:asciiTheme="majorHAnsi" w:hAnsiTheme="majorHAnsi"/>
        </w:rPr>
        <w:t xml:space="preserve">at </w:t>
      </w:r>
      <w:r w:rsidRPr="00216DDE">
        <w:rPr>
          <w:rFonts w:asciiTheme="majorHAnsi" w:hAnsiTheme="majorHAnsi"/>
        </w:rPr>
        <w:t>the address of EMD.</w:t>
      </w:r>
    </w:p>
    <w:p w:rsidR="0016590F" w:rsidRPr="00216DDE" w:rsidRDefault="001B78B5" w:rsidP="00460C2C">
      <w:pPr>
        <w:pStyle w:val="Corpotesto"/>
        <w:spacing w:after="280"/>
        <w:rPr>
          <w:rFonts w:asciiTheme="majorHAnsi" w:hAnsiTheme="majorHAnsi"/>
        </w:rPr>
      </w:pPr>
      <w:r w:rsidRPr="00216DDE">
        <w:rPr>
          <w:rFonts w:asciiTheme="majorHAnsi" w:hAnsiTheme="majorHAnsi"/>
          <w:b/>
          <w:bCs/>
        </w:rPr>
        <w:t>G) Fund creation and Management: ABALONE Asset Management - MT</w:t>
      </w:r>
    </w:p>
    <w:p w:rsidR="0016590F" w:rsidRPr="00216DDE" w:rsidRDefault="001B78B5" w:rsidP="00460C2C">
      <w:pPr>
        <w:pStyle w:val="Corpotesto"/>
        <w:rPr>
          <w:rFonts w:asciiTheme="majorHAnsi" w:hAnsiTheme="majorHAnsi"/>
        </w:rPr>
      </w:pPr>
      <w:r w:rsidRPr="00216DDE">
        <w:rPr>
          <w:rFonts w:asciiTheme="majorHAnsi" w:hAnsiTheme="majorHAnsi"/>
        </w:rPr>
        <w:t xml:space="preserve">Abalone is a certified money management company that in only five years became the second </w:t>
      </w:r>
      <w:r w:rsidR="00FE0249" w:rsidRPr="00216DDE">
        <w:rPr>
          <w:rFonts w:asciiTheme="majorHAnsi" w:hAnsiTheme="majorHAnsi"/>
        </w:rPr>
        <w:t xml:space="preserve">largest </w:t>
      </w:r>
      <w:r w:rsidRPr="00216DDE">
        <w:rPr>
          <w:rFonts w:asciiTheme="majorHAnsi" w:hAnsiTheme="majorHAnsi"/>
        </w:rPr>
        <w:t>private asset manager in Malta. They create and manage several funds both in M</w:t>
      </w:r>
      <w:r w:rsidR="00FE0249" w:rsidRPr="00216DDE">
        <w:rPr>
          <w:rFonts w:asciiTheme="majorHAnsi" w:hAnsiTheme="majorHAnsi"/>
        </w:rPr>
        <w:t>alta and in Luxembourg, in total compliance</w:t>
      </w:r>
      <w:r w:rsidRPr="00216DDE">
        <w:rPr>
          <w:rFonts w:asciiTheme="majorHAnsi" w:hAnsiTheme="majorHAnsi"/>
        </w:rPr>
        <w:t xml:space="preserve"> with the most rece</w:t>
      </w:r>
      <w:r w:rsidR="00FE0249" w:rsidRPr="00216DDE">
        <w:rPr>
          <w:rFonts w:asciiTheme="majorHAnsi" w:hAnsiTheme="majorHAnsi"/>
        </w:rPr>
        <w:t xml:space="preserve">nt European directives. </w:t>
      </w:r>
      <w:r w:rsidR="00FE0249" w:rsidRPr="00216DDE">
        <w:rPr>
          <w:rFonts w:asciiTheme="majorHAnsi" w:hAnsiTheme="majorHAnsi"/>
          <w:noProof/>
        </w:rPr>
        <w:t>Ab</w:t>
      </w:r>
      <w:r w:rsidR="00272F82" w:rsidRPr="00216DDE">
        <w:rPr>
          <w:rFonts w:asciiTheme="majorHAnsi" w:hAnsiTheme="majorHAnsi"/>
          <w:noProof/>
        </w:rPr>
        <w:t>a</w:t>
      </w:r>
      <w:r w:rsidR="00FE0249" w:rsidRPr="00216DDE">
        <w:rPr>
          <w:rFonts w:asciiTheme="majorHAnsi" w:hAnsiTheme="majorHAnsi"/>
          <w:noProof/>
        </w:rPr>
        <w:t>lone</w:t>
      </w:r>
      <w:r w:rsidR="00FE0249" w:rsidRPr="00216DDE">
        <w:rPr>
          <w:rFonts w:asciiTheme="majorHAnsi" w:hAnsiTheme="majorHAnsi"/>
        </w:rPr>
        <w:t xml:space="preserve"> is a </w:t>
      </w:r>
      <w:r w:rsidRPr="00216DDE">
        <w:rPr>
          <w:rFonts w:asciiTheme="majorHAnsi" w:hAnsiTheme="majorHAnsi"/>
        </w:rPr>
        <w:t xml:space="preserve">CFX </w:t>
      </w:r>
      <w:r w:rsidR="00FE0249" w:rsidRPr="00216DDE">
        <w:rPr>
          <w:rFonts w:asciiTheme="majorHAnsi" w:hAnsiTheme="majorHAnsi"/>
        </w:rPr>
        <w:t xml:space="preserve">partner </w:t>
      </w:r>
      <w:r w:rsidRPr="00216DDE">
        <w:rPr>
          <w:rFonts w:asciiTheme="majorHAnsi" w:hAnsiTheme="majorHAnsi"/>
        </w:rPr>
        <w:t xml:space="preserve">in </w:t>
      </w:r>
      <w:r w:rsidR="00FE0249" w:rsidRPr="00216DDE">
        <w:rPr>
          <w:rFonts w:asciiTheme="majorHAnsi" w:hAnsiTheme="majorHAnsi"/>
        </w:rPr>
        <w:t>the creation of</w:t>
      </w:r>
      <w:r w:rsidRPr="00216DDE">
        <w:rPr>
          <w:rFonts w:asciiTheme="majorHAnsi" w:hAnsiTheme="majorHAnsi"/>
        </w:rPr>
        <w:t xml:space="preserve"> the first Institutional fund, accessible only to professional and High Net Worth Individuals. The fund will be managed using the set of HATS trading systems provided by CFX.</w:t>
      </w:r>
    </w:p>
    <w:p w:rsidR="0016590F" w:rsidRPr="00216DDE" w:rsidRDefault="001B78B5" w:rsidP="00460C2C">
      <w:pPr>
        <w:pStyle w:val="Corpotesto"/>
        <w:spacing w:after="280"/>
        <w:rPr>
          <w:rFonts w:asciiTheme="majorHAnsi" w:hAnsiTheme="majorHAnsi"/>
        </w:rPr>
      </w:pPr>
      <w:r w:rsidRPr="00216DDE">
        <w:rPr>
          <w:rFonts w:asciiTheme="majorHAnsi" w:hAnsiTheme="majorHAnsi"/>
          <w:b/>
          <w:bCs/>
        </w:rPr>
        <w:t xml:space="preserve">H) Certificates creation and Management: FX </w:t>
      </w:r>
      <w:r w:rsidRPr="00216DDE">
        <w:rPr>
          <w:rFonts w:asciiTheme="majorHAnsi" w:hAnsiTheme="majorHAnsi"/>
          <w:b/>
          <w:bCs/>
          <w:noProof/>
        </w:rPr>
        <w:t>Financialab</w:t>
      </w:r>
      <w:r w:rsidRPr="00216DDE">
        <w:rPr>
          <w:rFonts w:asciiTheme="majorHAnsi" w:hAnsiTheme="majorHAnsi"/>
          <w:b/>
          <w:bCs/>
        </w:rPr>
        <w:t>SA - CH</w:t>
      </w:r>
    </w:p>
    <w:p w:rsidR="00216DDE" w:rsidRPr="00216DDE" w:rsidRDefault="001B78B5" w:rsidP="00460C2C">
      <w:pPr>
        <w:pStyle w:val="Corpotesto"/>
        <w:numPr>
          <w:ilvl w:val="0"/>
          <w:numId w:val="6"/>
        </w:numPr>
        <w:rPr>
          <w:rFonts w:asciiTheme="majorHAnsi" w:hAnsiTheme="majorHAnsi"/>
        </w:rPr>
      </w:pPr>
      <w:r w:rsidRPr="00216DDE">
        <w:rPr>
          <w:rFonts w:asciiTheme="majorHAnsi" w:hAnsiTheme="majorHAnsi"/>
          <w:b/>
          <w:bCs/>
        </w:rPr>
        <w:lastRenderedPageBreak/>
        <w:t xml:space="preserve">FX </w:t>
      </w:r>
      <w:r w:rsidRPr="007208E6">
        <w:rPr>
          <w:rFonts w:asciiTheme="majorHAnsi" w:hAnsiTheme="majorHAnsi"/>
          <w:b/>
          <w:bCs/>
          <w:noProof/>
        </w:rPr>
        <w:t>Financialab</w:t>
      </w:r>
      <w:r w:rsidRPr="00216DDE">
        <w:rPr>
          <w:rFonts w:asciiTheme="majorHAnsi" w:hAnsiTheme="majorHAnsi"/>
          <w:b/>
          <w:bCs/>
        </w:rPr>
        <w:t xml:space="preserve"> SA</w:t>
      </w:r>
      <w:r w:rsidRPr="00216DDE">
        <w:rPr>
          <w:rFonts w:asciiTheme="majorHAnsi" w:hAnsiTheme="majorHAnsi"/>
        </w:rPr>
        <w:t xml:space="preserve"> is a fiduciary and money management company authorized in Zurich, Switzerland.</w:t>
      </w:r>
    </w:p>
    <w:p w:rsidR="0016590F" w:rsidRPr="00F5347A" w:rsidRDefault="001B78B5" w:rsidP="00460C2C">
      <w:pPr>
        <w:pStyle w:val="Corpotesto"/>
        <w:numPr>
          <w:ilvl w:val="0"/>
          <w:numId w:val="6"/>
        </w:numPr>
        <w:rPr>
          <w:rFonts w:asciiTheme="majorHAnsi" w:hAnsiTheme="majorHAnsi"/>
        </w:rPr>
      </w:pPr>
      <w:r w:rsidRPr="00216DDE">
        <w:rPr>
          <w:rFonts w:asciiTheme="majorHAnsi" w:hAnsiTheme="majorHAnsi"/>
        </w:rPr>
        <w:t>Thanks to their long-</w:t>
      </w:r>
      <w:r w:rsidRPr="005C456C">
        <w:rPr>
          <w:rFonts w:asciiTheme="majorHAnsi" w:hAnsiTheme="majorHAnsi"/>
          <w:noProof/>
        </w:rPr>
        <w:t>term</w:t>
      </w:r>
      <w:r w:rsidR="005C456C">
        <w:rPr>
          <w:rFonts w:asciiTheme="majorHAnsi" w:hAnsiTheme="majorHAnsi"/>
          <w:noProof/>
        </w:rPr>
        <w:t xml:space="preserve"> </w:t>
      </w:r>
      <w:r w:rsidRPr="005C456C">
        <w:rPr>
          <w:rFonts w:asciiTheme="majorHAnsi" w:hAnsiTheme="majorHAnsi"/>
          <w:noProof/>
        </w:rPr>
        <w:t>experience</w:t>
      </w:r>
      <w:r w:rsidRPr="00216DDE">
        <w:rPr>
          <w:rFonts w:asciiTheme="majorHAnsi" w:hAnsiTheme="majorHAnsi"/>
        </w:rPr>
        <w:t>, they become partners of CFX in order to create and launch the first certificates of deposit that will be managed using the HATS technology. The certificates will be emitted by a Swiss bank in Lugano and</w:t>
      </w:r>
      <w:r>
        <w:t xml:space="preserve"> </w:t>
      </w:r>
      <w:r w:rsidRPr="00F5347A">
        <w:rPr>
          <w:rFonts w:asciiTheme="majorHAnsi" w:hAnsiTheme="majorHAnsi"/>
        </w:rPr>
        <w:t xml:space="preserve">quoted at the SIX stock exchange of Zurich, allowing </w:t>
      </w:r>
      <w:r w:rsidR="00FE0249" w:rsidRPr="00F5347A">
        <w:rPr>
          <w:rFonts w:asciiTheme="majorHAnsi" w:hAnsiTheme="majorHAnsi"/>
        </w:rPr>
        <w:t>them to be bought by</w:t>
      </w:r>
      <w:r w:rsidRPr="00F5347A">
        <w:rPr>
          <w:rFonts w:asciiTheme="majorHAnsi" w:hAnsiTheme="majorHAnsi"/>
        </w:rPr>
        <w:t xml:space="preserve"> small private investors. The certificates will be guaranteed by the </w:t>
      </w:r>
      <w:r w:rsidRPr="007208E6">
        <w:rPr>
          <w:rFonts w:asciiTheme="majorHAnsi" w:hAnsiTheme="majorHAnsi"/>
          <w:noProof/>
        </w:rPr>
        <w:t>emitting</w:t>
      </w:r>
      <w:r w:rsidRPr="00F5347A">
        <w:rPr>
          <w:rFonts w:asciiTheme="majorHAnsi" w:hAnsiTheme="majorHAnsi"/>
        </w:rPr>
        <w:t xml:space="preserve"> bank and the SIX exchange as well.</w:t>
      </w:r>
    </w:p>
    <w:p w:rsidR="004B110F" w:rsidRPr="000870FB" w:rsidRDefault="000870FB" w:rsidP="00460C2C">
      <w:pPr>
        <w:pStyle w:val="Titolo3"/>
        <w:spacing w:after="280"/>
        <w:rPr>
          <w:rFonts w:asciiTheme="majorHAnsi" w:hAnsiTheme="majorHAnsi"/>
          <w:szCs w:val="28"/>
        </w:rPr>
      </w:pPr>
      <w:r w:rsidRPr="000870FB">
        <w:rPr>
          <w:rFonts w:asciiTheme="majorHAnsi" w:hAnsiTheme="majorHAnsi"/>
          <w:szCs w:val="28"/>
        </w:rPr>
        <w:t>KEY PLANNED HIRES</w:t>
      </w:r>
    </w:p>
    <w:p w:rsidR="004B110F" w:rsidRPr="000870FB" w:rsidRDefault="001B78B5" w:rsidP="00460C2C">
      <w:pPr>
        <w:pStyle w:val="Corpotesto"/>
        <w:spacing w:after="280"/>
        <w:rPr>
          <w:rFonts w:asciiTheme="majorHAnsi" w:hAnsiTheme="majorHAnsi"/>
        </w:rPr>
      </w:pPr>
      <w:r w:rsidRPr="000870FB">
        <w:rPr>
          <w:rFonts w:asciiTheme="majorHAnsi" w:hAnsiTheme="majorHAnsi"/>
        </w:rPr>
        <w:t xml:space="preserve">The structure will begin with a few key managers and then evolve fast into a complete operative environment following growth </w:t>
      </w:r>
      <w:r w:rsidR="00FE0249" w:rsidRPr="000870FB">
        <w:rPr>
          <w:rFonts w:asciiTheme="majorHAnsi" w:hAnsiTheme="majorHAnsi"/>
        </w:rPr>
        <w:t xml:space="preserve">created by </w:t>
      </w:r>
      <w:r w:rsidRPr="000870FB">
        <w:rPr>
          <w:rFonts w:asciiTheme="majorHAnsi" w:hAnsiTheme="majorHAnsi"/>
        </w:rPr>
        <w:t>the marketing development.</w:t>
      </w:r>
    </w:p>
    <w:p w:rsidR="0016590F" w:rsidRPr="000870FB" w:rsidRDefault="001B78B5" w:rsidP="00460C2C">
      <w:pPr>
        <w:pStyle w:val="Corpotesto"/>
        <w:spacing w:after="280"/>
        <w:rPr>
          <w:rFonts w:asciiTheme="majorHAnsi" w:hAnsiTheme="majorHAnsi"/>
        </w:rPr>
      </w:pPr>
      <w:r w:rsidRPr="000870FB">
        <w:rPr>
          <w:rFonts w:asciiTheme="majorHAnsi" w:hAnsiTheme="majorHAnsi"/>
          <w:b/>
          <w:bCs/>
        </w:rPr>
        <w:t>CFX has four major divisions:</w:t>
      </w:r>
    </w:p>
    <w:p w:rsidR="0016590F" w:rsidRPr="000870FB" w:rsidRDefault="001B78B5" w:rsidP="00460C2C">
      <w:pPr>
        <w:pStyle w:val="Corpotesto"/>
        <w:numPr>
          <w:ilvl w:val="0"/>
          <w:numId w:val="7"/>
        </w:numPr>
        <w:rPr>
          <w:rFonts w:asciiTheme="majorHAnsi" w:hAnsiTheme="majorHAnsi"/>
        </w:rPr>
      </w:pPr>
      <w:r w:rsidRPr="000870FB">
        <w:rPr>
          <w:rFonts w:asciiTheme="majorHAnsi" w:hAnsiTheme="majorHAnsi"/>
          <w:bCs/>
        </w:rPr>
        <w:t>Money management experts</w:t>
      </w:r>
    </w:p>
    <w:p w:rsidR="0016590F" w:rsidRPr="000870FB" w:rsidRDefault="001B78B5" w:rsidP="00460C2C">
      <w:pPr>
        <w:pStyle w:val="Corpotesto"/>
        <w:numPr>
          <w:ilvl w:val="0"/>
          <w:numId w:val="7"/>
        </w:numPr>
        <w:rPr>
          <w:rFonts w:asciiTheme="majorHAnsi" w:hAnsiTheme="majorHAnsi"/>
        </w:rPr>
      </w:pPr>
      <w:r w:rsidRPr="000870FB">
        <w:rPr>
          <w:rFonts w:asciiTheme="majorHAnsi" w:hAnsiTheme="majorHAnsi"/>
          <w:bCs/>
        </w:rPr>
        <w:t>Technology experts</w:t>
      </w:r>
    </w:p>
    <w:p w:rsidR="0016590F" w:rsidRPr="000870FB" w:rsidRDefault="001B78B5" w:rsidP="00460C2C">
      <w:pPr>
        <w:pStyle w:val="Corpotesto"/>
        <w:numPr>
          <w:ilvl w:val="0"/>
          <w:numId w:val="7"/>
        </w:numPr>
        <w:rPr>
          <w:rFonts w:asciiTheme="majorHAnsi" w:hAnsiTheme="majorHAnsi"/>
        </w:rPr>
      </w:pPr>
      <w:r w:rsidRPr="000870FB">
        <w:rPr>
          <w:rFonts w:asciiTheme="majorHAnsi" w:hAnsiTheme="majorHAnsi"/>
          <w:bCs/>
        </w:rPr>
        <w:t>Web marketing and Customer Support</w:t>
      </w:r>
    </w:p>
    <w:p w:rsidR="0016590F" w:rsidRPr="000870FB" w:rsidRDefault="001B78B5" w:rsidP="00460C2C">
      <w:pPr>
        <w:pStyle w:val="Corpotesto"/>
        <w:numPr>
          <w:ilvl w:val="0"/>
          <w:numId w:val="7"/>
        </w:numPr>
        <w:spacing w:after="280"/>
        <w:rPr>
          <w:rFonts w:asciiTheme="majorHAnsi" w:hAnsiTheme="majorHAnsi"/>
        </w:rPr>
      </w:pPr>
      <w:r w:rsidRPr="000870FB">
        <w:rPr>
          <w:rFonts w:asciiTheme="majorHAnsi" w:hAnsiTheme="majorHAnsi"/>
          <w:bCs/>
        </w:rPr>
        <w:t>General management staff</w:t>
      </w:r>
    </w:p>
    <w:p w:rsidR="0016590F" w:rsidRPr="000870FB" w:rsidRDefault="00FE0249" w:rsidP="00460C2C">
      <w:pPr>
        <w:pStyle w:val="Corpotesto"/>
        <w:spacing w:after="280"/>
        <w:rPr>
          <w:rFonts w:asciiTheme="majorHAnsi" w:hAnsiTheme="majorHAnsi"/>
        </w:rPr>
      </w:pPr>
      <w:r w:rsidRPr="000870FB">
        <w:rPr>
          <w:rFonts w:asciiTheme="majorHAnsi" w:hAnsiTheme="majorHAnsi"/>
        </w:rPr>
        <w:t xml:space="preserve">A </w:t>
      </w:r>
      <w:r w:rsidR="001B78B5" w:rsidRPr="000870FB">
        <w:rPr>
          <w:rFonts w:asciiTheme="majorHAnsi" w:hAnsiTheme="majorHAnsi"/>
        </w:rPr>
        <w:t>detailed table of costs and hiring plan of action is included</w:t>
      </w:r>
      <w:r w:rsidRPr="000870FB">
        <w:rPr>
          <w:rFonts w:asciiTheme="majorHAnsi" w:hAnsiTheme="majorHAnsi"/>
        </w:rPr>
        <w:t xml:space="preserve"> in the Business Plan.</w:t>
      </w:r>
    </w:p>
    <w:p w:rsidR="0016590F" w:rsidRPr="000870FB" w:rsidRDefault="001B78B5" w:rsidP="00460C2C">
      <w:pPr>
        <w:pStyle w:val="Corpotesto"/>
        <w:spacing w:after="280"/>
        <w:rPr>
          <w:rFonts w:asciiTheme="majorHAnsi" w:hAnsiTheme="majorHAnsi"/>
        </w:rPr>
      </w:pPr>
      <w:r w:rsidRPr="000870FB">
        <w:rPr>
          <w:rFonts w:asciiTheme="majorHAnsi" w:hAnsiTheme="majorHAnsi"/>
          <w:b/>
          <w:bCs/>
        </w:rPr>
        <w:t>1) Money management experts</w:t>
      </w:r>
    </w:p>
    <w:p w:rsidR="0016590F" w:rsidRPr="000870FB" w:rsidRDefault="001B78B5" w:rsidP="00460C2C">
      <w:pPr>
        <w:pStyle w:val="Corpotesto"/>
        <w:spacing w:after="280"/>
        <w:rPr>
          <w:rFonts w:asciiTheme="majorHAnsi" w:hAnsiTheme="majorHAnsi"/>
        </w:rPr>
      </w:pPr>
      <w:r w:rsidRPr="000870FB">
        <w:rPr>
          <w:rFonts w:asciiTheme="majorHAnsi" w:hAnsiTheme="majorHAnsi"/>
        </w:rPr>
        <w:t>The aim of this division is to apply and evolve t</w:t>
      </w:r>
      <w:r w:rsidR="00FE0249" w:rsidRPr="000870FB">
        <w:rPr>
          <w:rFonts w:asciiTheme="majorHAnsi" w:hAnsiTheme="majorHAnsi"/>
        </w:rPr>
        <w:t>he four main systems of CFX in t</w:t>
      </w:r>
      <w:r w:rsidRPr="000870FB">
        <w:rPr>
          <w:rFonts w:asciiTheme="majorHAnsi" w:hAnsiTheme="majorHAnsi"/>
        </w:rPr>
        <w:t xml:space="preserve">he real market to manage the internal </w:t>
      </w:r>
      <w:r w:rsidRPr="000870FB">
        <w:rPr>
          <w:rFonts w:asciiTheme="majorHAnsi" w:hAnsiTheme="majorHAnsi"/>
          <w:noProof/>
        </w:rPr>
        <w:t>fund</w:t>
      </w:r>
      <w:r w:rsidRPr="000870FB">
        <w:rPr>
          <w:rFonts w:asciiTheme="majorHAnsi" w:hAnsiTheme="majorHAnsi"/>
        </w:rPr>
        <w:t xml:space="preserve"> and support the institutional customers </w:t>
      </w:r>
      <w:r w:rsidR="00FE0249" w:rsidRPr="000870FB">
        <w:rPr>
          <w:rFonts w:asciiTheme="majorHAnsi" w:hAnsiTheme="majorHAnsi"/>
        </w:rPr>
        <w:t>of HATS to implement the system</w:t>
      </w:r>
      <w:r w:rsidRPr="000870FB">
        <w:rPr>
          <w:rFonts w:asciiTheme="majorHAnsi" w:hAnsiTheme="majorHAnsi"/>
        </w:rPr>
        <w:t>s in their own fund management.</w:t>
      </w:r>
    </w:p>
    <w:p w:rsidR="0016590F" w:rsidRPr="000870FB" w:rsidRDefault="001B78B5" w:rsidP="00460C2C">
      <w:pPr>
        <w:pStyle w:val="Corpotesto"/>
        <w:spacing w:after="280"/>
        <w:rPr>
          <w:rFonts w:asciiTheme="majorHAnsi" w:hAnsiTheme="majorHAnsi"/>
        </w:rPr>
      </w:pPr>
      <w:r w:rsidRPr="000870FB">
        <w:rPr>
          <w:rFonts w:asciiTheme="majorHAnsi" w:hAnsiTheme="majorHAnsi"/>
          <w:b/>
        </w:rPr>
        <w:t>Head of investment analysis</w:t>
      </w:r>
      <w:r w:rsidRPr="000870FB">
        <w:rPr>
          <w:rFonts w:asciiTheme="majorHAnsi" w:hAnsiTheme="majorHAnsi"/>
        </w:rPr>
        <w:t xml:space="preserve">: a manager with </w:t>
      </w:r>
      <w:r w:rsidR="00272F82" w:rsidRPr="000870FB">
        <w:rPr>
          <w:rFonts w:asciiTheme="majorHAnsi" w:hAnsiTheme="majorHAnsi"/>
        </w:rPr>
        <w:t xml:space="preserve">a </w:t>
      </w:r>
      <w:r w:rsidRPr="000870FB">
        <w:rPr>
          <w:rFonts w:asciiTheme="majorHAnsi" w:hAnsiTheme="majorHAnsi"/>
          <w:noProof/>
        </w:rPr>
        <w:t>strong</w:t>
      </w:r>
      <w:r w:rsidRPr="000870FB">
        <w:rPr>
          <w:rFonts w:asciiTheme="majorHAnsi" w:hAnsiTheme="majorHAnsi"/>
        </w:rPr>
        <w:t xml:space="preserve"> curriculum in the investment sector ranging from consultancy, banks, key global investment companies, with competences in any asset class. He has </w:t>
      </w:r>
      <w:r w:rsidRPr="000870FB">
        <w:rPr>
          <w:rFonts w:asciiTheme="majorHAnsi" w:hAnsiTheme="majorHAnsi"/>
          <w:noProof/>
        </w:rPr>
        <w:t>personally</w:t>
      </w:r>
      <w:r w:rsidRPr="000870FB">
        <w:rPr>
          <w:rFonts w:asciiTheme="majorHAnsi" w:hAnsiTheme="majorHAnsi"/>
        </w:rPr>
        <w:t xml:space="preserve"> developed several trading and arbitrage systems.</w:t>
      </w:r>
    </w:p>
    <w:p w:rsidR="0016590F" w:rsidRPr="000870FB" w:rsidRDefault="00FE0249" w:rsidP="00460C2C">
      <w:pPr>
        <w:pStyle w:val="Corpotesto"/>
        <w:spacing w:after="280"/>
        <w:rPr>
          <w:rFonts w:asciiTheme="majorHAnsi" w:hAnsiTheme="majorHAnsi"/>
        </w:rPr>
      </w:pPr>
      <w:r w:rsidRPr="000870FB">
        <w:rPr>
          <w:rFonts w:asciiTheme="majorHAnsi" w:hAnsiTheme="majorHAnsi"/>
        </w:rPr>
        <w:t>He will be responsible for</w:t>
      </w:r>
      <w:r w:rsidR="001B78B5" w:rsidRPr="000870FB">
        <w:rPr>
          <w:rFonts w:asciiTheme="majorHAnsi" w:hAnsiTheme="majorHAnsi"/>
        </w:rPr>
        <w:t xml:space="preserve"> the global return of the </w:t>
      </w:r>
      <w:r w:rsidR="001B78B5" w:rsidRPr="000870FB">
        <w:rPr>
          <w:rFonts w:asciiTheme="majorHAnsi" w:hAnsiTheme="majorHAnsi"/>
          <w:noProof/>
        </w:rPr>
        <w:t>por</w:t>
      </w:r>
      <w:r w:rsidR="00272F82" w:rsidRPr="000870FB">
        <w:rPr>
          <w:rFonts w:asciiTheme="majorHAnsi" w:hAnsiTheme="majorHAnsi"/>
          <w:noProof/>
        </w:rPr>
        <w:t>t</w:t>
      </w:r>
      <w:r w:rsidR="001B78B5" w:rsidRPr="000870FB">
        <w:rPr>
          <w:rFonts w:asciiTheme="majorHAnsi" w:hAnsiTheme="majorHAnsi"/>
          <w:noProof/>
        </w:rPr>
        <w:t>folio</w:t>
      </w:r>
      <w:r w:rsidR="001B78B5" w:rsidRPr="000870FB">
        <w:rPr>
          <w:rFonts w:asciiTheme="majorHAnsi" w:hAnsiTheme="majorHAnsi"/>
        </w:rPr>
        <w:t xml:space="preserve"> under the d</w:t>
      </w:r>
      <w:r w:rsidRPr="000870FB">
        <w:rPr>
          <w:rFonts w:asciiTheme="majorHAnsi" w:hAnsiTheme="majorHAnsi"/>
        </w:rPr>
        <w:t>i</w:t>
      </w:r>
      <w:r w:rsidR="001B78B5" w:rsidRPr="000870FB">
        <w:rPr>
          <w:rFonts w:asciiTheme="majorHAnsi" w:hAnsiTheme="majorHAnsi"/>
        </w:rPr>
        <w:t>rect supervision of the CEO. He will select, hire and train the key Investment and trading experts and create the</w:t>
      </w:r>
      <w:r w:rsidRPr="000870FB">
        <w:rPr>
          <w:rFonts w:asciiTheme="majorHAnsi" w:hAnsiTheme="majorHAnsi"/>
        </w:rPr>
        <w:t xml:space="preserve"> optimal environment </w:t>
      </w:r>
      <w:r w:rsidR="005F12DC" w:rsidRPr="000870FB">
        <w:rPr>
          <w:rFonts w:asciiTheme="majorHAnsi" w:hAnsiTheme="majorHAnsi"/>
          <w:noProof/>
        </w:rPr>
        <w:t>t</w:t>
      </w:r>
      <w:r w:rsidRPr="000870FB">
        <w:rPr>
          <w:rFonts w:asciiTheme="majorHAnsi" w:hAnsiTheme="majorHAnsi"/>
          <w:noProof/>
        </w:rPr>
        <w:t>o</w:t>
      </w:r>
      <w:r w:rsidRPr="000870FB">
        <w:rPr>
          <w:rFonts w:asciiTheme="majorHAnsi" w:hAnsiTheme="majorHAnsi"/>
        </w:rPr>
        <w:t xml:space="preserve"> grow a</w:t>
      </w:r>
      <w:r w:rsidR="001B78B5" w:rsidRPr="000870FB">
        <w:rPr>
          <w:rFonts w:asciiTheme="majorHAnsi" w:hAnsiTheme="majorHAnsi"/>
        </w:rPr>
        <w:t xml:space="preserve"> group of highly skilled people.</w:t>
      </w:r>
    </w:p>
    <w:p w:rsidR="0016590F" w:rsidRPr="000870FB" w:rsidRDefault="001B78B5" w:rsidP="00460C2C">
      <w:pPr>
        <w:pStyle w:val="Corpotesto"/>
        <w:spacing w:after="280"/>
        <w:rPr>
          <w:rFonts w:asciiTheme="majorHAnsi" w:hAnsiTheme="majorHAnsi"/>
        </w:rPr>
      </w:pPr>
      <w:r w:rsidRPr="000870FB">
        <w:rPr>
          <w:rFonts w:asciiTheme="majorHAnsi" w:hAnsiTheme="majorHAnsi"/>
          <w:b/>
        </w:rPr>
        <w:t>Investment and trading experts</w:t>
      </w:r>
      <w:r w:rsidR="005F12DC" w:rsidRPr="000870FB">
        <w:rPr>
          <w:rFonts w:asciiTheme="majorHAnsi" w:hAnsiTheme="majorHAnsi"/>
        </w:rPr>
        <w:t xml:space="preserve"> w</w:t>
      </w:r>
      <w:r w:rsidRPr="000870FB">
        <w:rPr>
          <w:rFonts w:asciiTheme="majorHAnsi" w:hAnsiTheme="majorHAnsi"/>
        </w:rPr>
        <w:t>ith expertise in trading systems and execution, t</w:t>
      </w:r>
      <w:r w:rsidR="005F12DC" w:rsidRPr="000870FB">
        <w:rPr>
          <w:rFonts w:asciiTheme="majorHAnsi" w:hAnsiTheme="majorHAnsi"/>
        </w:rPr>
        <w:t xml:space="preserve">o </w:t>
      </w:r>
      <w:r w:rsidRPr="000870FB">
        <w:rPr>
          <w:rFonts w:asciiTheme="majorHAnsi" w:hAnsiTheme="majorHAnsi"/>
        </w:rPr>
        <w:t xml:space="preserve">be specialized by asset </w:t>
      </w:r>
      <w:r w:rsidRPr="005C456C">
        <w:rPr>
          <w:rFonts w:asciiTheme="majorHAnsi" w:hAnsiTheme="majorHAnsi"/>
          <w:noProof/>
        </w:rPr>
        <w:t>class</w:t>
      </w:r>
      <w:r w:rsidRPr="000870FB">
        <w:rPr>
          <w:rFonts w:asciiTheme="majorHAnsi" w:hAnsiTheme="majorHAnsi"/>
        </w:rPr>
        <w:t xml:space="preserve"> and </w:t>
      </w:r>
      <w:r w:rsidRPr="005C456C">
        <w:rPr>
          <w:rFonts w:asciiTheme="majorHAnsi" w:hAnsiTheme="majorHAnsi"/>
          <w:noProof/>
        </w:rPr>
        <w:t>respon</w:t>
      </w:r>
      <w:r w:rsidR="005F12DC" w:rsidRPr="005C456C">
        <w:rPr>
          <w:rFonts w:asciiTheme="majorHAnsi" w:hAnsiTheme="majorHAnsi"/>
          <w:noProof/>
        </w:rPr>
        <w:t>s</w:t>
      </w:r>
      <w:r w:rsidRPr="005C456C">
        <w:rPr>
          <w:rFonts w:asciiTheme="majorHAnsi" w:hAnsiTheme="majorHAnsi"/>
          <w:noProof/>
        </w:rPr>
        <w:t>ible</w:t>
      </w:r>
      <w:r w:rsidR="005C456C">
        <w:rPr>
          <w:rFonts w:asciiTheme="majorHAnsi" w:hAnsiTheme="majorHAnsi"/>
          <w:noProof/>
        </w:rPr>
        <w:t xml:space="preserve"> </w:t>
      </w:r>
      <w:r w:rsidR="005F12DC" w:rsidRPr="005C456C">
        <w:rPr>
          <w:rFonts w:asciiTheme="majorHAnsi" w:hAnsiTheme="majorHAnsi"/>
          <w:noProof/>
        </w:rPr>
        <w:t>for</w:t>
      </w:r>
      <w:r w:rsidR="005F12DC" w:rsidRPr="000870FB">
        <w:rPr>
          <w:rFonts w:asciiTheme="majorHAnsi" w:hAnsiTheme="majorHAnsi"/>
        </w:rPr>
        <w:t xml:space="preserve"> </w:t>
      </w:r>
      <w:r w:rsidRPr="000870FB">
        <w:rPr>
          <w:rFonts w:asciiTheme="majorHAnsi" w:hAnsiTheme="majorHAnsi"/>
        </w:rPr>
        <w:t xml:space="preserve">the </w:t>
      </w:r>
      <w:r w:rsidRPr="000870FB">
        <w:rPr>
          <w:rFonts w:asciiTheme="majorHAnsi" w:hAnsiTheme="majorHAnsi"/>
          <w:noProof/>
        </w:rPr>
        <w:t>performance</w:t>
      </w:r>
      <w:r w:rsidRPr="000870FB">
        <w:rPr>
          <w:rFonts w:asciiTheme="majorHAnsi" w:hAnsiTheme="majorHAnsi"/>
        </w:rPr>
        <w:t xml:space="preserve"> of specific parts of the global portfolio under the </w:t>
      </w:r>
      <w:r w:rsidRPr="000870FB">
        <w:rPr>
          <w:rFonts w:asciiTheme="majorHAnsi" w:hAnsiTheme="majorHAnsi"/>
        </w:rPr>
        <w:lastRenderedPageBreak/>
        <w:t>supervision of the Head of investment analysis. They will support HATS customers on any operative issue.</w:t>
      </w:r>
    </w:p>
    <w:p w:rsidR="000870FB" w:rsidRPr="000870FB" w:rsidRDefault="00FE0249" w:rsidP="00460C2C">
      <w:pPr>
        <w:pStyle w:val="Corpotesto"/>
        <w:spacing w:after="280"/>
        <w:rPr>
          <w:rFonts w:asciiTheme="majorHAnsi" w:hAnsiTheme="majorHAnsi"/>
        </w:rPr>
      </w:pPr>
      <w:r w:rsidRPr="000870FB">
        <w:rPr>
          <w:rFonts w:asciiTheme="majorHAnsi" w:hAnsiTheme="majorHAnsi"/>
        </w:rPr>
        <w:t>The number</w:t>
      </w:r>
      <w:r w:rsidR="001B78B5" w:rsidRPr="000870FB">
        <w:rPr>
          <w:rFonts w:asciiTheme="majorHAnsi" w:hAnsiTheme="majorHAnsi"/>
        </w:rPr>
        <w:t xml:space="preserve"> of Investment experts w</w:t>
      </w:r>
      <w:r w:rsidRPr="000870FB">
        <w:rPr>
          <w:rFonts w:asciiTheme="majorHAnsi" w:hAnsiTheme="majorHAnsi"/>
        </w:rPr>
        <w:t>i</w:t>
      </w:r>
      <w:r w:rsidR="001B78B5" w:rsidRPr="000870FB">
        <w:rPr>
          <w:rFonts w:asciiTheme="majorHAnsi" w:hAnsiTheme="majorHAnsi"/>
        </w:rPr>
        <w:t>ll begin with the necessary people to manage the interna</w:t>
      </w:r>
      <w:r w:rsidRPr="000870FB">
        <w:rPr>
          <w:rFonts w:asciiTheme="majorHAnsi" w:hAnsiTheme="majorHAnsi"/>
        </w:rPr>
        <w:t>l</w:t>
      </w:r>
      <w:r w:rsidR="00507ADC" w:rsidRPr="000870FB">
        <w:rPr>
          <w:rFonts w:asciiTheme="majorHAnsi" w:hAnsiTheme="majorHAnsi"/>
        </w:rPr>
        <w:t xml:space="preserve"> fund and </w:t>
      </w:r>
      <w:r w:rsidR="001B78B5" w:rsidRPr="000870FB">
        <w:rPr>
          <w:rFonts w:asciiTheme="majorHAnsi" w:hAnsiTheme="majorHAnsi"/>
        </w:rPr>
        <w:t>grow every month t</w:t>
      </w:r>
      <w:r w:rsidR="00507ADC" w:rsidRPr="000870FB">
        <w:rPr>
          <w:rFonts w:asciiTheme="majorHAnsi" w:hAnsiTheme="majorHAnsi"/>
        </w:rPr>
        <w:t>o follow the growth of the client base</w:t>
      </w:r>
      <w:r w:rsidR="001B78B5" w:rsidRPr="000870FB">
        <w:rPr>
          <w:rFonts w:asciiTheme="majorHAnsi" w:hAnsiTheme="majorHAnsi"/>
        </w:rPr>
        <w:t>.</w:t>
      </w:r>
    </w:p>
    <w:p w:rsidR="0016590F" w:rsidRPr="000870FB" w:rsidRDefault="001B78B5" w:rsidP="00460C2C">
      <w:pPr>
        <w:pStyle w:val="Corpotesto"/>
        <w:spacing w:after="280"/>
        <w:rPr>
          <w:rFonts w:asciiTheme="majorHAnsi" w:hAnsiTheme="majorHAnsi"/>
        </w:rPr>
      </w:pPr>
      <w:r w:rsidRPr="000870FB">
        <w:rPr>
          <w:rFonts w:asciiTheme="majorHAnsi" w:hAnsiTheme="majorHAnsi"/>
          <w:b/>
          <w:bCs/>
        </w:rPr>
        <w:t>2) Technology experts</w:t>
      </w:r>
    </w:p>
    <w:p w:rsidR="0016590F" w:rsidRPr="000870FB" w:rsidRDefault="00507ADC" w:rsidP="00460C2C">
      <w:pPr>
        <w:pStyle w:val="Corpotesto"/>
        <w:spacing w:after="280"/>
        <w:rPr>
          <w:rFonts w:asciiTheme="majorHAnsi" w:hAnsiTheme="majorHAnsi"/>
        </w:rPr>
      </w:pPr>
      <w:r w:rsidRPr="000870FB">
        <w:rPr>
          <w:rFonts w:asciiTheme="majorHAnsi" w:hAnsiTheme="majorHAnsi"/>
        </w:rPr>
        <w:t>A</w:t>
      </w:r>
      <w:r w:rsidR="001B78B5" w:rsidRPr="000870FB">
        <w:rPr>
          <w:rFonts w:asciiTheme="majorHAnsi" w:hAnsiTheme="majorHAnsi"/>
        </w:rPr>
        <w:t xml:space="preserve"> group of programmers will be in charge of evolving the </w:t>
      </w:r>
      <w:r w:rsidR="001B78B5" w:rsidRPr="000870FB">
        <w:rPr>
          <w:rFonts w:asciiTheme="majorHAnsi" w:hAnsiTheme="majorHAnsi"/>
          <w:noProof/>
        </w:rPr>
        <w:t>existing</w:t>
      </w:r>
      <w:r w:rsidR="001B78B5" w:rsidRPr="000870FB">
        <w:rPr>
          <w:rFonts w:asciiTheme="majorHAnsi" w:hAnsiTheme="majorHAnsi"/>
        </w:rPr>
        <w:t xml:space="preserve"> software platforms into a unique in</w:t>
      </w:r>
      <w:r w:rsidRPr="000870FB">
        <w:rPr>
          <w:rFonts w:asciiTheme="majorHAnsi" w:hAnsiTheme="majorHAnsi"/>
        </w:rPr>
        <w:t>tegrated platform for</w:t>
      </w:r>
      <w:r w:rsidR="001B78B5" w:rsidRPr="000870FB">
        <w:rPr>
          <w:rFonts w:asciiTheme="majorHAnsi" w:hAnsiTheme="majorHAnsi"/>
        </w:rPr>
        <w:t xml:space="preserve"> trading and money </w:t>
      </w:r>
      <w:r w:rsidR="001B78B5" w:rsidRPr="000870FB">
        <w:rPr>
          <w:rFonts w:asciiTheme="majorHAnsi" w:hAnsiTheme="majorHAnsi"/>
          <w:noProof/>
        </w:rPr>
        <w:t>management</w:t>
      </w:r>
      <w:r w:rsidRPr="000870FB">
        <w:rPr>
          <w:rFonts w:asciiTheme="majorHAnsi" w:hAnsiTheme="majorHAnsi"/>
        </w:rPr>
        <w:t xml:space="preserve"> and</w:t>
      </w:r>
      <w:r w:rsidR="001B78B5" w:rsidRPr="000870FB">
        <w:rPr>
          <w:rFonts w:asciiTheme="majorHAnsi" w:hAnsiTheme="majorHAnsi"/>
        </w:rPr>
        <w:t xml:space="preserve"> integrate the Sentiment indicator into</w:t>
      </w:r>
      <w:r w:rsidRPr="000870FB">
        <w:rPr>
          <w:rFonts w:asciiTheme="majorHAnsi" w:hAnsiTheme="majorHAnsi"/>
        </w:rPr>
        <w:t xml:space="preserve"> the global systems. Create, </w:t>
      </w:r>
      <w:r w:rsidR="001B78B5" w:rsidRPr="000870FB">
        <w:rPr>
          <w:rFonts w:asciiTheme="majorHAnsi" w:hAnsiTheme="majorHAnsi"/>
        </w:rPr>
        <w:t>maintain</w:t>
      </w:r>
      <w:r w:rsidRPr="000870FB">
        <w:rPr>
          <w:rFonts w:asciiTheme="majorHAnsi" w:hAnsiTheme="majorHAnsi"/>
        </w:rPr>
        <w:t>, a</w:t>
      </w:r>
      <w:r w:rsidR="001B78B5" w:rsidRPr="000870FB">
        <w:rPr>
          <w:rFonts w:asciiTheme="majorHAnsi" w:hAnsiTheme="majorHAnsi"/>
        </w:rPr>
        <w:t>nd evolve the Apps and Dapps to be given to token holders and to institutional customers. Maintain and integrate the Big Data</w:t>
      </w:r>
      <w:r w:rsidRPr="000870FB">
        <w:rPr>
          <w:rFonts w:asciiTheme="majorHAnsi" w:hAnsiTheme="majorHAnsi"/>
        </w:rPr>
        <w:t xml:space="preserve"> financial</w:t>
      </w:r>
      <w:r w:rsidR="001B78B5" w:rsidRPr="000870FB">
        <w:rPr>
          <w:rFonts w:asciiTheme="majorHAnsi" w:hAnsiTheme="majorHAnsi"/>
        </w:rPr>
        <w:t xml:space="preserve"> instruments, implement the </w:t>
      </w:r>
      <w:r w:rsidR="001B78B5" w:rsidRPr="000870FB">
        <w:rPr>
          <w:rFonts w:asciiTheme="majorHAnsi" w:hAnsiTheme="majorHAnsi"/>
          <w:noProof/>
        </w:rPr>
        <w:t>artific</w:t>
      </w:r>
      <w:r w:rsidR="005F12DC" w:rsidRPr="000870FB">
        <w:rPr>
          <w:rFonts w:asciiTheme="majorHAnsi" w:hAnsiTheme="majorHAnsi"/>
          <w:noProof/>
        </w:rPr>
        <w:t>i</w:t>
      </w:r>
      <w:r w:rsidR="001B78B5" w:rsidRPr="000870FB">
        <w:rPr>
          <w:rFonts w:asciiTheme="majorHAnsi" w:hAnsiTheme="majorHAnsi"/>
          <w:noProof/>
        </w:rPr>
        <w:t>al</w:t>
      </w:r>
      <w:r w:rsidR="001B78B5" w:rsidRPr="000870FB">
        <w:rPr>
          <w:rFonts w:asciiTheme="majorHAnsi" w:hAnsiTheme="majorHAnsi"/>
        </w:rPr>
        <w:t xml:space="preserve"> intelligence engines</w:t>
      </w:r>
      <w:r w:rsidRPr="000870FB">
        <w:rPr>
          <w:rFonts w:asciiTheme="majorHAnsi" w:hAnsiTheme="majorHAnsi"/>
        </w:rPr>
        <w:t>,</w:t>
      </w:r>
      <w:r w:rsidR="001B78B5" w:rsidRPr="000870FB">
        <w:rPr>
          <w:rFonts w:asciiTheme="majorHAnsi" w:hAnsiTheme="majorHAnsi"/>
        </w:rPr>
        <w:t xml:space="preserve"> both in the single trading system and in the money management decisions</w:t>
      </w:r>
      <w:r w:rsidRPr="000870FB">
        <w:rPr>
          <w:rFonts w:asciiTheme="majorHAnsi" w:hAnsiTheme="majorHAnsi"/>
        </w:rPr>
        <w:t>,</w:t>
      </w:r>
      <w:r w:rsidR="001B78B5" w:rsidRPr="000870FB">
        <w:rPr>
          <w:rFonts w:asciiTheme="majorHAnsi" w:hAnsiTheme="majorHAnsi"/>
        </w:rPr>
        <w:t xml:space="preserve"> in order to optimize the global return and minimize the risk on every asset class.</w:t>
      </w:r>
    </w:p>
    <w:p w:rsidR="0016590F" w:rsidRPr="000870FB" w:rsidRDefault="001B78B5" w:rsidP="00460C2C">
      <w:pPr>
        <w:pStyle w:val="Corpotesto"/>
        <w:spacing w:after="280"/>
        <w:rPr>
          <w:rFonts w:asciiTheme="majorHAnsi" w:hAnsiTheme="majorHAnsi"/>
        </w:rPr>
      </w:pPr>
      <w:r w:rsidRPr="000870FB">
        <w:rPr>
          <w:rFonts w:asciiTheme="majorHAnsi" w:hAnsiTheme="majorHAnsi"/>
          <w:b/>
          <w:bCs/>
        </w:rPr>
        <w:t>CTO</w:t>
      </w:r>
      <w:r w:rsidR="00507ADC" w:rsidRPr="000870FB">
        <w:rPr>
          <w:rFonts w:asciiTheme="majorHAnsi" w:hAnsiTheme="majorHAnsi"/>
        </w:rPr>
        <w:t xml:space="preserve">: </w:t>
      </w:r>
      <w:r w:rsidRPr="000870FB">
        <w:rPr>
          <w:rFonts w:asciiTheme="majorHAnsi" w:hAnsiTheme="majorHAnsi"/>
        </w:rPr>
        <w:t>a programmer of long and profound experience both in the Cryptocurrencies, blockchain developm</w:t>
      </w:r>
      <w:r w:rsidR="00507ADC" w:rsidRPr="000870FB">
        <w:rPr>
          <w:rFonts w:asciiTheme="majorHAnsi" w:hAnsiTheme="majorHAnsi"/>
        </w:rPr>
        <w:t>ent and financial data analysis</w:t>
      </w:r>
      <w:r w:rsidRPr="000870FB">
        <w:rPr>
          <w:rFonts w:asciiTheme="majorHAnsi" w:hAnsiTheme="majorHAnsi"/>
        </w:rPr>
        <w:t xml:space="preserve">. He will be </w:t>
      </w:r>
      <w:r w:rsidRPr="000870FB">
        <w:rPr>
          <w:rFonts w:asciiTheme="majorHAnsi" w:hAnsiTheme="majorHAnsi"/>
          <w:noProof/>
        </w:rPr>
        <w:t>respon</w:t>
      </w:r>
      <w:r w:rsidR="005F12DC" w:rsidRPr="000870FB">
        <w:rPr>
          <w:rFonts w:asciiTheme="majorHAnsi" w:hAnsiTheme="majorHAnsi"/>
          <w:noProof/>
        </w:rPr>
        <w:t>sib</w:t>
      </w:r>
      <w:r w:rsidRPr="000870FB">
        <w:rPr>
          <w:rFonts w:asciiTheme="majorHAnsi" w:hAnsiTheme="majorHAnsi"/>
          <w:noProof/>
        </w:rPr>
        <w:t>le</w:t>
      </w:r>
      <w:r w:rsidR="005F12DC" w:rsidRPr="000870FB">
        <w:rPr>
          <w:rFonts w:asciiTheme="majorHAnsi" w:hAnsiTheme="majorHAnsi"/>
        </w:rPr>
        <w:t xml:space="preserve"> for the group of</w:t>
      </w:r>
      <w:r w:rsidRPr="000870FB">
        <w:rPr>
          <w:rFonts w:asciiTheme="majorHAnsi" w:hAnsiTheme="majorHAnsi"/>
        </w:rPr>
        <w:t xml:space="preserve"> experts that will be hired and trained under his supervision. He will cooperate with the external partner</w:t>
      </w:r>
      <w:r w:rsidR="00507ADC" w:rsidRPr="000870FB">
        <w:rPr>
          <w:rFonts w:asciiTheme="majorHAnsi" w:hAnsiTheme="majorHAnsi"/>
        </w:rPr>
        <w:t>,</w:t>
      </w:r>
      <w:r w:rsidRPr="000870FB">
        <w:rPr>
          <w:rFonts w:asciiTheme="majorHAnsi" w:hAnsiTheme="majorHAnsi"/>
        </w:rPr>
        <w:t> ICO Malta</w:t>
      </w:r>
      <w:r w:rsidR="00507ADC" w:rsidRPr="000870FB">
        <w:rPr>
          <w:rFonts w:asciiTheme="majorHAnsi" w:hAnsiTheme="majorHAnsi"/>
        </w:rPr>
        <w:t>,</w:t>
      </w:r>
      <w:r w:rsidRPr="000870FB">
        <w:rPr>
          <w:rFonts w:asciiTheme="majorHAnsi" w:hAnsiTheme="majorHAnsi"/>
        </w:rPr>
        <w:t xml:space="preserve"> and primarily interact with CEO and the Head of </w:t>
      </w:r>
      <w:r w:rsidRPr="000870FB">
        <w:rPr>
          <w:rFonts w:asciiTheme="majorHAnsi" w:hAnsiTheme="majorHAnsi"/>
          <w:noProof/>
        </w:rPr>
        <w:t>inves</w:t>
      </w:r>
      <w:r w:rsidR="005F12DC" w:rsidRPr="000870FB">
        <w:rPr>
          <w:rFonts w:asciiTheme="majorHAnsi" w:hAnsiTheme="majorHAnsi"/>
          <w:noProof/>
        </w:rPr>
        <w:t>t</w:t>
      </w:r>
      <w:r w:rsidRPr="000870FB">
        <w:rPr>
          <w:rFonts w:asciiTheme="majorHAnsi" w:hAnsiTheme="majorHAnsi"/>
          <w:noProof/>
        </w:rPr>
        <w:t>ment</w:t>
      </w:r>
      <w:r w:rsidRPr="000870FB">
        <w:rPr>
          <w:rFonts w:asciiTheme="majorHAnsi" w:hAnsiTheme="majorHAnsi"/>
        </w:rPr>
        <w:t xml:space="preserve"> analysis.</w:t>
      </w:r>
    </w:p>
    <w:p w:rsidR="0016590F" w:rsidRPr="000870FB" w:rsidRDefault="001B78B5" w:rsidP="00460C2C">
      <w:pPr>
        <w:pStyle w:val="Corpotesto"/>
        <w:spacing w:after="280"/>
        <w:rPr>
          <w:rFonts w:asciiTheme="majorHAnsi" w:hAnsiTheme="majorHAnsi"/>
        </w:rPr>
      </w:pPr>
      <w:r w:rsidRPr="000870FB">
        <w:rPr>
          <w:rFonts w:asciiTheme="majorHAnsi" w:hAnsiTheme="majorHAnsi"/>
          <w:b/>
          <w:bCs/>
        </w:rPr>
        <w:t>Technology Staff:</w:t>
      </w:r>
      <w:r w:rsidRPr="000870FB">
        <w:rPr>
          <w:rFonts w:asciiTheme="majorHAnsi" w:hAnsiTheme="majorHAnsi"/>
        </w:rPr>
        <w:t xml:space="preserve"> the group will be selected by the CTO and begin with four people with different expertise: Blockchain, Database management, Artificial intelligence, </w:t>
      </w:r>
      <w:r w:rsidRPr="000870FB">
        <w:rPr>
          <w:rFonts w:asciiTheme="majorHAnsi" w:hAnsiTheme="majorHAnsi"/>
          <w:noProof/>
        </w:rPr>
        <w:t>High</w:t>
      </w:r>
      <w:r w:rsidR="005F12DC" w:rsidRPr="000870FB">
        <w:rPr>
          <w:rFonts w:asciiTheme="majorHAnsi" w:hAnsiTheme="majorHAnsi"/>
          <w:noProof/>
        </w:rPr>
        <w:t>-</w:t>
      </w:r>
      <w:r w:rsidRPr="000870FB">
        <w:rPr>
          <w:rFonts w:asciiTheme="majorHAnsi" w:hAnsiTheme="majorHAnsi"/>
          <w:noProof/>
        </w:rPr>
        <w:t>level</w:t>
      </w:r>
      <w:r w:rsidRPr="000870FB">
        <w:rPr>
          <w:rFonts w:asciiTheme="majorHAnsi" w:hAnsiTheme="majorHAnsi"/>
        </w:rPr>
        <w:t xml:space="preserve"> statistics. The group will then evolve also for the</w:t>
      </w:r>
      <w:r w:rsidR="00507ADC" w:rsidRPr="000870FB">
        <w:rPr>
          <w:rFonts w:asciiTheme="majorHAnsi" w:hAnsiTheme="majorHAnsi"/>
        </w:rPr>
        <w:t xml:space="preserve"> purpose of following the growth</w:t>
      </w:r>
      <w:r w:rsidRPr="000870FB">
        <w:rPr>
          <w:rFonts w:asciiTheme="majorHAnsi" w:hAnsiTheme="majorHAnsi"/>
        </w:rPr>
        <w:t xml:space="preserve"> of HATS customers. They will also define the necessary computing powe</w:t>
      </w:r>
      <w:r w:rsidR="00507ADC" w:rsidRPr="000870FB">
        <w:rPr>
          <w:rFonts w:asciiTheme="majorHAnsi" w:hAnsiTheme="majorHAnsi"/>
        </w:rPr>
        <w:t>r and grow the server farms as necessary</w:t>
      </w:r>
      <w:r w:rsidRPr="000870FB">
        <w:rPr>
          <w:rFonts w:asciiTheme="majorHAnsi" w:hAnsiTheme="majorHAnsi"/>
        </w:rPr>
        <w:t>.</w:t>
      </w:r>
    </w:p>
    <w:p w:rsidR="0016590F" w:rsidRPr="000870FB" w:rsidRDefault="001B78B5" w:rsidP="00460C2C">
      <w:pPr>
        <w:pStyle w:val="Corpotesto"/>
        <w:spacing w:after="280"/>
        <w:rPr>
          <w:rFonts w:asciiTheme="majorHAnsi" w:hAnsiTheme="majorHAnsi"/>
        </w:rPr>
      </w:pPr>
      <w:r w:rsidRPr="000870FB">
        <w:rPr>
          <w:rFonts w:asciiTheme="majorHAnsi" w:hAnsiTheme="majorHAnsi"/>
          <w:b/>
          <w:bCs/>
        </w:rPr>
        <w:t>3) Web marketing and customer support</w:t>
      </w:r>
    </w:p>
    <w:p w:rsidR="0016590F" w:rsidRPr="000870FB" w:rsidRDefault="001B78B5" w:rsidP="00460C2C">
      <w:pPr>
        <w:pStyle w:val="Corpotesto"/>
        <w:spacing w:after="280"/>
        <w:rPr>
          <w:rFonts w:asciiTheme="majorHAnsi" w:hAnsiTheme="majorHAnsi"/>
        </w:rPr>
      </w:pPr>
      <w:r w:rsidRPr="000870FB">
        <w:rPr>
          <w:rFonts w:asciiTheme="majorHAnsi" w:hAnsiTheme="majorHAnsi"/>
        </w:rPr>
        <w:t xml:space="preserve">The main operations of web marketing and customer support </w:t>
      </w:r>
      <w:r w:rsidRPr="005C456C">
        <w:rPr>
          <w:rFonts w:asciiTheme="majorHAnsi" w:hAnsiTheme="majorHAnsi"/>
          <w:noProof/>
        </w:rPr>
        <w:t>wi</w:t>
      </w:r>
      <w:r w:rsidR="005F12DC" w:rsidRPr="005C456C">
        <w:rPr>
          <w:rFonts w:asciiTheme="majorHAnsi" w:hAnsiTheme="majorHAnsi"/>
          <w:noProof/>
        </w:rPr>
        <w:t>l</w:t>
      </w:r>
      <w:r w:rsidRPr="005C456C">
        <w:rPr>
          <w:rFonts w:asciiTheme="majorHAnsi" w:hAnsiTheme="majorHAnsi"/>
          <w:noProof/>
        </w:rPr>
        <w:t>l</w:t>
      </w:r>
      <w:r w:rsidR="005C456C">
        <w:rPr>
          <w:rFonts w:asciiTheme="majorHAnsi" w:hAnsiTheme="majorHAnsi"/>
          <w:noProof/>
        </w:rPr>
        <w:t xml:space="preserve"> </w:t>
      </w:r>
      <w:r w:rsidRPr="005C456C">
        <w:rPr>
          <w:rFonts w:asciiTheme="majorHAnsi" w:hAnsiTheme="majorHAnsi"/>
          <w:noProof/>
        </w:rPr>
        <w:t>be</w:t>
      </w:r>
      <w:r w:rsidRPr="000870FB">
        <w:rPr>
          <w:rFonts w:asciiTheme="majorHAnsi" w:hAnsiTheme="majorHAnsi"/>
        </w:rPr>
        <w:t xml:space="preserve"> given to external specialized companies. This process will b</w:t>
      </w:r>
      <w:r w:rsidR="00507ADC" w:rsidRPr="000870FB">
        <w:rPr>
          <w:rFonts w:asciiTheme="majorHAnsi" w:hAnsiTheme="majorHAnsi"/>
        </w:rPr>
        <w:t>e supervised by the COO with</w:t>
      </w:r>
      <w:r w:rsidRPr="000870FB">
        <w:rPr>
          <w:rFonts w:asciiTheme="majorHAnsi" w:hAnsiTheme="majorHAnsi"/>
        </w:rPr>
        <w:t xml:space="preserve"> long </w:t>
      </w:r>
      <w:r w:rsidR="00507ADC" w:rsidRPr="000870FB">
        <w:rPr>
          <w:rFonts w:asciiTheme="majorHAnsi" w:hAnsiTheme="majorHAnsi"/>
        </w:rPr>
        <w:t xml:space="preserve">experience in </w:t>
      </w:r>
      <w:r w:rsidRPr="000870FB">
        <w:rPr>
          <w:rFonts w:asciiTheme="majorHAnsi" w:hAnsiTheme="majorHAnsi"/>
        </w:rPr>
        <w:t>gaming sector</w:t>
      </w:r>
      <w:r w:rsidR="00507ADC" w:rsidRPr="000870FB">
        <w:rPr>
          <w:rFonts w:asciiTheme="majorHAnsi" w:hAnsiTheme="majorHAnsi"/>
        </w:rPr>
        <w:t xml:space="preserve"> marketing</w:t>
      </w:r>
      <w:r w:rsidRPr="000870FB">
        <w:rPr>
          <w:rFonts w:asciiTheme="majorHAnsi" w:hAnsiTheme="majorHAnsi"/>
        </w:rPr>
        <w:t>.</w:t>
      </w:r>
    </w:p>
    <w:p w:rsidR="0016590F" w:rsidRPr="000870FB" w:rsidRDefault="001B78B5" w:rsidP="00460C2C">
      <w:pPr>
        <w:pStyle w:val="Corpotesto"/>
        <w:spacing w:after="280"/>
        <w:rPr>
          <w:rFonts w:asciiTheme="majorHAnsi" w:hAnsiTheme="majorHAnsi"/>
        </w:rPr>
      </w:pPr>
      <w:r w:rsidRPr="000870FB">
        <w:rPr>
          <w:rFonts w:asciiTheme="majorHAnsi" w:hAnsiTheme="majorHAnsi"/>
        </w:rPr>
        <w:t>Th</w:t>
      </w:r>
      <w:r w:rsidR="00507ADC" w:rsidRPr="000870FB">
        <w:rPr>
          <w:rFonts w:asciiTheme="majorHAnsi" w:hAnsiTheme="majorHAnsi"/>
        </w:rPr>
        <w:t>e internal group will aim</w:t>
      </w:r>
      <w:r w:rsidRPr="000870FB">
        <w:rPr>
          <w:rFonts w:asciiTheme="majorHAnsi" w:hAnsiTheme="majorHAnsi"/>
        </w:rPr>
        <w:t xml:space="preserve"> to s</w:t>
      </w:r>
      <w:r w:rsidR="00507ADC" w:rsidRPr="000870FB">
        <w:rPr>
          <w:rFonts w:asciiTheme="majorHAnsi" w:hAnsiTheme="majorHAnsi"/>
        </w:rPr>
        <w:t>upport, interface and control</w:t>
      </w:r>
      <w:r w:rsidRPr="000870FB">
        <w:rPr>
          <w:rFonts w:asciiTheme="majorHAnsi" w:hAnsiTheme="majorHAnsi"/>
        </w:rPr>
        <w:t> external suppliers for the general public and token holders, and direct</w:t>
      </w:r>
      <w:r w:rsidR="00507ADC" w:rsidRPr="000870FB">
        <w:rPr>
          <w:rFonts w:asciiTheme="majorHAnsi" w:hAnsiTheme="majorHAnsi"/>
        </w:rPr>
        <w:t xml:space="preserve">ly </w:t>
      </w:r>
      <w:r w:rsidRPr="000870FB">
        <w:rPr>
          <w:rFonts w:asciiTheme="majorHAnsi" w:hAnsiTheme="majorHAnsi"/>
        </w:rPr>
        <w:t xml:space="preserve">assist </w:t>
      </w:r>
      <w:r w:rsidRPr="000870FB">
        <w:rPr>
          <w:rFonts w:asciiTheme="majorHAnsi" w:hAnsiTheme="majorHAnsi"/>
          <w:noProof/>
        </w:rPr>
        <w:t>institu</w:t>
      </w:r>
      <w:r w:rsidR="005F12DC" w:rsidRPr="000870FB">
        <w:rPr>
          <w:rFonts w:asciiTheme="majorHAnsi" w:hAnsiTheme="majorHAnsi"/>
          <w:noProof/>
        </w:rPr>
        <w:t>t</w:t>
      </w:r>
      <w:r w:rsidRPr="000870FB">
        <w:rPr>
          <w:rFonts w:asciiTheme="majorHAnsi" w:hAnsiTheme="majorHAnsi"/>
          <w:noProof/>
        </w:rPr>
        <w:t>ional</w:t>
      </w:r>
      <w:r w:rsidRPr="000870FB">
        <w:rPr>
          <w:rFonts w:asciiTheme="majorHAnsi" w:hAnsiTheme="majorHAnsi"/>
        </w:rPr>
        <w:t xml:space="preserve"> customers.</w:t>
      </w:r>
    </w:p>
    <w:p w:rsidR="0016590F" w:rsidRPr="000870FB" w:rsidRDefault="001B78B5" w:rsidP="00460C2C">
      <w:pPr>
        <w:pStyle w:val="Corpotesto"/>
        <w:spacing w:after="280"/>
        <w:rPr>
          <w:rFonts w:asciiTheme="majorHAnsi" w:hAnsiTheme="majorHAnsi"/>
        </w:rPr>
      </w:pPr>
      <w:r w:rsidRPr="000870FB">
        <w:rPr>
          <w:rFonts w:asciiTheme="majorHAnsi" w:hAnsiTheme="majorHAnsi"/>
          <w:b/>
          <w:bCs/>
        </w:rPr>
        <w:t>4) General management staff</w:t>
      </w:r>
    </w:p>
    <w:p w:rsidR="0016590F" w:rsidRPr="000870FB" w:rsidRDefault="00507ADC" w:rsidP="00460C2C">
      <w:pPr>
        <w:pStyle w:val="Corpotesto"/>
        <w:spacing w:after="0" w:afterAutospacing="0"/>
        <w:rPr>
          <w:rFonts w:asciiTheme="majorHAnsi" w:hAnsiTheme="majorHAnsi"/>
        </w:rPr>
      </w:pPr>
      <w:r w:rsidRPr="000870FB">
        <w:rPr>
          <w:rFonts w:asciiTheme="majorHAnsi" w:hAnsiTheme="majorHAnsi"/>
        </w:rPr>
        <w:t>This</w:t>
      </w:r>
      <w:r w:rsidR="001B78B5" w:rsidRPr="000870FB">
        <w:rPr>
          <w:rFonts w:asciiTheme="majorHAnsi" w:hAnsiTheme="majorHAnsi"/>
        </w:rPr>
        <w:t xml:space="preserve"> group of people will be managed by </w:t>
      </w:r>
      <w:r w:rsidRPr="000870FB">
        <w:rPr>
          <w:rFonts w:asciiTheme="majorHAnsi" w:hAnsiTheme="majorHAnsi"/>
        </w:rPr>
        <w:t xml:space="preserve">the </w:t>
      </w:r>
      <w:r w:rsidR="001B78B5" w:rsidRPr="000870FB">
        <w:rPr>
          <w:rFonts w:asciiTheme="majorHAnsi" w:hAnsiTheme="majorHAnsi"/>
        </w:rPr>
        <w:t>CEO and COO in order to give adequate support to all external partners and internal staff.</w:t>
      </w:r>
      <w:r w:rsidR="003354B4">
        <w:rPr>
          <w:rFonts w:asciiTheme="majorHAnsi" w:hAnsiTheme="majorHAnsi"/>
        </w:rPr>
        <w:t xml:space="preserve"> </w:t>
      </w:r>
      <w:r w:rsidR="001B78B5" w:rsidRPr="000870FB">
        <w:rPr>
          <w:rFonts w:asciiTheme="majorHAnsi" w:hAnsiTheme="majorHAnsi"/>
        </w:rPr>
        <w:t xml:space="preserve">The first key people will </w:t>
      </w:r>
      <w:r w:rsidRPr="000870FB">
        <w:rPr>
          <w:rFonts w:asciiTheme="majorHAnsi" w:hAnsiTheme="majorHAnsi"/>
        </w:rPr>
        <w:t>be dedicated to accountancy, KYC</w:t>
      </w:r>
      <w:r w:rsidR="009500FF" w:rsidRPr="000870FB">
        <w:rPr>
          <w:rFonts w:asciiTheme="majorHAnsi" w:hAnsiTheme="majorHAnsi"/>
        </w:rPr>
        <w:t xml:space="preserve">, </w:t>
      </w:r>
      <w:r w:rsidR="001B78B5" w:rsidRPr="000870FB">
        <w:rPr>
          <w:rFonts w:asciiTheme="majorHAnsi" w:hAnsiTheme="majorHAnsi"/>
        </w:rPr>
        <w:t>AML</w:t>
      </w:r>
      <w:r w:rsidR="009500FF" w:rsidRPr="000870FB">
        <w:rPr>
          <w:rFonts w:asciiTheme="majorHAnsi" w:hAnsiTheme="majorHAnsi"/>
        </w:rPr>
        <w:t xml:space="preserve">, </w:t>
      </w:r>
      <w:r w:rsidR="009500FF" w:rsidRPr="000870FB">
        <w:rPr>
          <w:rFonts w:asciiTheme="majorHAnsi" w:hAnsiTheme="majorHAnsi"/>
        </w:rPr>
        <w:lastRenderedPageBreak/>
        <w:t>and terrorism counter-</w:t>
      </w:r>
      <w:r w:rsidR="009500FF" w:rsidRPr="005C456C">
        <w:rPr>
          <w:rFonts w:asciiTheme="majorHAnsi" w:hAnsiTheme="majorHAnsi"/>
          <w:noProof/>
        </w:rPr>
        <w:t>financing</w:t>
      </w:r>
      <w:r w:rsidR="005C456C">
        <w:rPr>
          <w:rFonts w:asciiTheme="majorHAnsi" w:hAnsiTheme="majorHAnsi"/>
          <w:noProof/>
        </w:rPr>
        <w:t xml:space="preserve"> </w:t>
      </w:r>
      <w:r w:rsidR="001B78B5" w:rsidRPr="005C456C">
        <w:rPr>
          <w:rFonts w:asciiTheme="majorHAnsi" w:hAnsiTheme="majorHAnsi"/>
          <w:noProof/>
        </w:rPr>
        <w:t>support</w:t>
      </w:r>
      <w:r w:rsidR="001B78B5" w:rsidRPr="000870FB">
        <w:rPr>
          <w:rFonts w:asciiTheme="majorHAnsi" w:hAnsiTheme="majorHAnsi"/>
        </w:rPr>
        <w:t>.</w:t>
      </w:r>
      <w:r w:rsidR="003354B4">
        <w:rPr>
          <w:rFonts w:asciiTheme="majorHAnsi" w:hAnsiTheme="majorHAnsi"/>
        </w:rPr>
        <w:t xml:space="preserve"> </w:t>
      </w:r>
      <w:r w:rsidR="001B78B5" w:rsidRPr="000870FB">
        <w:rPr>
          <w:rFonts w:asciiTheme="majorHAnsi" w:hAnsiTheme="majorHAnsi"/>
        </w:rPr>
        <w:t>The group will grow according t</w:t>
      </w:r>
      <w:r w:rsidRPr="000870FB">
        <w:rPr>
          <w:rFonts w:asciiTheme="majorHAnsi" w:hAnsiTheme="majorHAnsi"/>
        </w:rPr>
        <w:t>o the evolution of operations</w:t>
      </w:r>
      <w:r w:rsidR="001B78B5" w:rsidRPr="000870FB">
        <w:rPr>
          <w:rFonts w:asciiTheme="majorHAnsi" w:hAnsiTheme="majorHAnsi"/>
        </w:rPr>
        <w:t xml:space="preserve"> and </w:t>
      </w:r>
      <w:r w:rsidRPr="000870FB">
        <w:rPr>
          <w:rFonts w:asciiTheme="majorHAnsi" w:hAnsiTheme="majorHAnsi"/>
        </w:rPr>
        <w:t xml:space="preserve">size of </w:t>
      </w:r>
      <w:r w:rsidR="001B78B5" w:rsidRPr="000870FB">
        <w:rPr>
          <w:rFonts w:asciiTheme="majorHAnsi" w:hAnsiTheme="majorHAnsi"/>
        </w:rPr>
        <w:t>customer base.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5347A" w:rsidTr="00F5347A">
        <w:trPr>
          <w:trHeight w:val="404"/>
        </w:trPr>
        <w:tc>
          <w:tcPr>
            <w:tcW w:w="9576" w:type="dxa"/>
            <w:shd w:val="clear" w:color="auto" w:fill="50D4D1"/>
            <w:vAlign w:val="center"/>
          </w:tcPr>
          <w:p w:rsidR="00F5347A" w:rsidRDefault="00F5347A" w:rsidP="00460C2C">
            <w:pPr>
              <w:pStyle w:val="Titolo3"/>
              <w:spacing w:after="280"/>
              <w:rPr>
                <w:rFonts w:asciiTheme="majorHAnsi" w:hAnsiTheme="majorHAnsi"/>
                <w:sz w:val="24"/>
                <w:szCs w:val="24"/>
              </w:rPr>
            </w:pPr>
            <w:r w:rsidRPr="001A2FED">
              <w:rPr>
                <w:rFonts w:asciiTheme="majorHAnsi" w:hAnsiTheme="majorHAnsi"/>
                <w:szCs w:val="24"/>
              </w:rPr>
              <w:t>Personnel Table</w:t>
            </w:r>
          </w:p>
        </w:tc>
      </w:tr>
      <w:tr w:rsidR="00F5347A" w:rsidTr="00F5347A">
        <w:trPr>
          <w:trHeight w:val="53"/>
        </w:trPr>
        <w:tc>
          <w:tcPr>
            <w:tcW w:w="9576" w:type="dxa"/>
          </w:tcPr>
          <w:p w:rsidR="00F5347A" w:rsidRPr="00F5347A" w:rsidRDefault="00F5347A" w:rsidP="00460C2C">
            <w:pPr>
              <w:pStyle w:val="Titolo3"/>
              <w:spacing w:after="280" w:line="240" w:lineRule="auto"/>
              <w:rPr>
                <w:rFonts w:asciiTheme="majorHAnsi" w:hAnsiTheme="majorHAnsi"/>
                <w:sz w:val="6"/>
                <w:szCs w:val="6"/>
              </w:rPr>
            </w:pPr>
          </w:p>
        </w:tc>
      </w:tr>
    </w:tbl>
    <w:tbl>
      <w:tblPr>
        <w:tblW w:w="0" w:type="auto"/>
        <w:jc w:val="center"/>
        <w:tblLayout w:type="fixed"/>
        <w:tblLook w:val="04A0" w:firstRow="1" w:lastRow="0" w:firstColumn="1" w:lastColumn="0" w:noHBand="0" w:noVBand="1"/>
      </w:tblPr>
      <w:tblGrid>
        <w:gridCol w:w="1560"/>
        <w:gridCol w:w="1560"/>
        <w:gridCol w:w="1560"/>
        <w:gridCol w:w="1560"/>
        <w:gridCol w:w="1560"/>
        <w:gridCol w:w="1560"/>
      </w:tblGrid>
      <w:tr w:rsidR="0016590F">
        <w:trPr>
          <w:cantSplit/>
          <w:jc w:val="center"/>
        </w:trPr>
        <w:tc>
          <w:tcPr>
            <w:tcW w:w="1560" w:type="dxa"/>
            <w:tcBorders>
              <w:top w:val="nil"/>
              <w:left w:val="nil"/>
              <w:bottom w:val="single" w:sz="8" w:space="0" w:color="000000"/>
              <w:right w:val="nil"/>
              <w:tl2br w:val="nil"/>
              <w:tr2bl w:val="nil"/>
            </w:tcBorders>
            <w:shd w:val="clear" w:color="auto" w:fill="auto"/>
            <w:tcMar>
              <w:top w:w="60" w:type="dxa"/>
              <w:left w:w="0" w:type="dxa"/>
              <w:bottom w:w="100" w:type="dxa"/>
              <w:right w:w="0" w:type="dxa"/>
            </w:tcMar>
            <w:vAlign w:val="center"/>
          </w:tcPr>
          <w:p w:rsidR="004B110F" w:rsidRDefault="004B110F" w:rsidP="00460C2C">
            <w:pPr>
              <w:pStyle w:val="FinancialTableHeader"/>
              <w:keepNext/>
              <w:keepLines/>
              <w:spacing w:after="280"/>
            </w:pP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Header"/>
              <w:keepNext/>
              <w:keepLines/>
              <w:spacing w:after="280"/>
            </w:pPr>
            <w:r>
              <w:t>2019</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Header"/>
              <w:keepNext/>
              <w:keepLines/>
              <w:spacing w:after="280"/>
            </w:pPr>
            <w:r>
              <w:t>2020</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Header"/>
              <w:keepNext/>
              <w:keepLines/>
              <w:spacing w:after="280"/>
            </w:pPr>
            <w:r>
              <w:t>2021</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Header"/>
              <w:keepNext/>
              <w:keepLines/>
              <w:spacing w:after="280"/>
            </w:pPr>
            <w:r>
              <w:t>2022</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Header"/>
              <w:keepNext/>
              <w:keepLines/>
              <w:spacing w:after="280"/>
            </w:pPr>
            <w:r>
              <w:t>2023</w:t>
            </w:r>
          </w:p>
        </w:tc>
      </w:tr>
      <w:tr w:rsidR="0016590F">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Item"/>
              <w:keepNext/>
              <w:keepLines/>
              <w:spacing w:after="280"/>
            </w:pPr>
            <w:r>
              <w:t>Performance fees Internal bonuses (9.7)</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€71,079</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€230,040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€519,589</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€1,150,217</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€2,944,310</w:t>
            </w:r>
          </w:p>
        </w:tc>
      </w:tr>
      <w:tr w:rsidR="0016590F">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Item"/>
              <w:keepNext/>
              <w:keepLines/>
              <w:spacing w:after="280"/>
            </w:pPr>
            <w:r>
              <w:t>EXTERNAL Relationship Managers (19)</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€81,023</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€431,324</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€1,039,179</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€2,396,286</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€6,309,236</w:t>
            </w:r>
          </w:p>
        </w:tc>
      </w:tr>
      <w:tr w:rsidR="0016590F">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Item"/>
              <w:keepNext/>
              <w:keepLines/>
              <w:spacing w:after="280"/>
            </w:pPr>
            <w:r>
              <w:t>Top Managers (3)</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€432,000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€734,400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€1,248,480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€2,122,416</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€3,608,106</w:t>
            </w:r>
          </w:p>
        </w:tc>
      </w:tr>
      <w:tr w:rsidR="0016590F">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Item"/>
              <w:keepNext/>
              <w:keepLines/>
              <w:spacing w:after="280"/>
            </w:pPr>
            <w:r>
              <w:t>Head of Investment analysis</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€120,000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€156,000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€202,800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€263,640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€342,732</w:t>
            </w:r>
          </w:p>
        </w:tc>
      </w:tr>
      <w:tr w:rsidR="0016590F">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Item"/>
              <w:keepNext/>
              <w:keepLines/>
              <w:spacing w:after="280"/>
            </w:pPr>
            <w:r>
              <w:t>Investment and trading experts (11.3)</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€270,000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€648,000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€950,400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€1,451,520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€2,239,488</w:t>
            </w:r>
          </w:p>
        </w:tc>
      </w:tr>
      <w:tr w:rsidR="0016590F">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Item"/>
              <w:keepNext/>
              <w:keepLines/>
              <w:spacing w:after="280"/>
            </w:pPr>
            <w:r>
              <w:t>Internal staff and marketing (14.47)</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€192,000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€475,200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€725,760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€1,244,160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€1,642,300</w:t>
            </w:r>
          </w:p>
        </w:tc>
      </w:tr>
      <w:tr w:rsidR="0016590F">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Item"/>
              <w:keepNext/>
              <w:keepLines/>
              <w:spacing w:after="280"/>
            </w:pPr>
            <w:r>
              <w:t>CTO</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€120,000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€144,000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€172,800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€207,360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€248,832</w:t>
            </w:r>
          </w:p>
        </w:tc>
      </w:tr>
      <w:tr w:rsidR="0016590F">
        <w:trPr>
          <w:cantSplit/>
          <w:jc w:val="center"/>
        </w:trPr>
        <w:tc>
          <w:tcPr>
            <w:tcW w:w="15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Item"/>
              <w:keepNext/>
              <w:keepLines/>
              <w:spacing w:after="280"/>
            </w:pPr>
            <w:r>
              <w:t>Technology Staff (15.32)</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€309,000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€554,400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€696,960</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€862,488</w:t>
            </w:r>
          </w:p>
        </w:tc>
        <w:tc>
          <w:tcPr>
            <w:tcW w:w="15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€1,054,160</w:t>
            </w:r>
          </w:p>
        </w:tc>
      </w:tr>
      <w:tr w:rsidR="0016590F">
        <w:trPr>
          <w:cantSplit/>
          <w:jc w:val="center"/>
        </w:trPr>
        <w:tc>
          <w:tcPr>
            <w:tcW w:w="1560" w:type="dxa"/>
            <w:tcBorders>
              <w:top w:val="nil"/>
              <w:left w:val="nil"/>
              <w:bottom w:val="single" w:sz="8" w:space="0" w:color="000000"/>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GroupFooter"/>
              <w:keepNext/>
              <w:keepLines/>
              <w:spacing w:after="280"/>
            </w:pPr>
            <w:r>
              <w:t>Totals</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GroupFooter"/>
              <w:keepNext/>
              <w:keepLines/>
              <w:spacing w:after="280"/>
            </w:pPr>
            <w:r>
              <w:t>€1,595,102</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GroupFooter"/>
              <w:keepNext/>
              <w:keepLines/>
              <w:spacing w:after="280"/>
            </w:pPr>
            <w:r>
              <w:t>€3,373,364</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GroupFooter"/>
              <w:keepNext/>
              <w:keepLines/>
              <w:spacing w:after="280"/>
            </w:pPr>
            <w:r>
              <w:t>€5,555,968</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GroupFooter"/>
              <w:keepNext/>
              <w:keepLines/>
              <w:spacing w:after="280"/>
            </w:pPr>
            <w:r>
              <w:t>€9,698,088</w:t>
            </w:r>
          </w:p>
        </w:tc>
        <w:tc>
          <w:tcPr>
            <w:tcW w:w="1560" w:type="dxa"/>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GroupFooter"/>
              <w:keepNext/>
              <w:keepLines/>
              <w:spacing w:after="280"/>
            </w:pPr>
            <w:r>
              <w:t>€18,389,163</w:t>
            </w:r>
          </w:p>
        </w:tc>
      </w:tr>
    </w:tbl>
    <w:p w:rsidR="004B110F" w:rsidRPr="00F5347A" w:rsidRDefault="001B78B5" w:rsidP="00460C2C">
      <w:pPr>
        <w:pStyle w:val="Titolo3"/>
        <w:spacing w:after="280"/>
        <w:rPr>
          <w:rFonts w:asciiTheme="majorHAnsi" w:hAnsiTheme="majorHAnsi"/>
          <w:sz w:val="24"/>
          <w:szCs w:val="28"/>
        </w:rPr>
      </w:pPr>
      <w:r w:rsidRPr="00F5347A">
        <w:rPr>
          <w:rFonts w:asciiTheme="majorHAnsi" w:hAnsiTheme="majorHAnsi"/>
          <w:sz w:val="24"/>
          <w:szCs w:val="28"/>
        </w:rPr>
        <w:t>Locations &amp; Facilities</w:t>
      </w:r>
    </w:p>
    <w:p w:rsidR="0016590F" w:rsidRPr="000870FB" w:rsidRDefault="00507ADC" w:rsidP="00460C2C">
      <w:pPr>
        <w:pStyle w:val="Corpotesto"/>
        <w:spacing w:after="280"/>
        <w:rPr>
          <w:rFonts w:asciiTheme="majorHAnsi" w:hAnsiTheme="majorHAnsi"/>
        </w:rPr>
      </w:pPr>
      <w:r w:rsidRPr="000870FB">
        <w:rPr>
          <w:rFonts w:asciiTheme="majorHAnsi" w:hAnsiTheme="majorHAnsi"/>
        </w:rPr>
        <w:t xml:space="preserve">CFX is a decentralized </w:t>
      </w:r>
      <w:r w:rsidR="001B78B5" w:rsidRPr="000870FB">
        <w:rPr>
          <w:rFonts w:asciiTheme="majorHAnsi" w:hAnsiTheme="majorHAnsi"/>
        </w:rPr>
        <w:t xml:space="preserve">company </w:t>
      </w:r>
      <w:r w:rsidRPr="000870FB">
        <w:rPr>
          <w:rFonts w:asciiTheme="majorHAnsi" w:hAnsiTheme="majorHAnsi"/>
        </w:rPr>
        <w:t xml:space="preserve">for which </w:t>
      </w:r>
      <w:r w:rsidR="001B78B5" w:rsidRPr="000870FB">
        <w:rPr>
          <w:rFonts w:asciiTheme="majorHAnsi" w:hAnsiTheme="majorHAnsi"/>
        </w:rPr>
        <w:t xml:space="preserve">location </w:t>
      </w:r>
      <w:r w:rsidRPr="000870FB">
        <w:rPr>
          <w:rFonts w:asciiTheme="majorHAnsi" w:hAnsiTheme="majorHAnsi"/>
        </w:rPr>
        <w:t>is</w:t>
      </w:r>
      <w:r w:rsidR="001B78B5" w:rsidRPr="000870FB">
        <w:rPr>
          <w:rFonts w:asciiTheme="majorHAnsi" w:hAnsiTheme="majorHAnsi"/>
        </w:rPr>
        <w:t xml:space="preserve"> less important.</w:t>
      </w:r>
      <w:r w:rsidR="003354B4">
        <w:rPr>
          <w:rFonts w:asciiTheme="majorHAnsi" w:hAnsiTheme="majorHAnsi"/>
        </w:rPr>
        <w:t xml:space="preserve"> </w:t>
      </w:r>
      <w:r w:rsidR="001B78B5" w:rsidRPr="000870FB">
        <w:rPr>
          <w:rFonts w:asciiTheme="majorHAnsi" w:hAnsiTheme="majorHAnsi"/>
        </w:rPr>
        <w:t>The management team is working in several different locations:</w:t>
      </w:r>
    </w:p>
    <w:p w:rsidR="0016590F" w:rsidRPr="000870FB" w:rsidRDefault="001B78B5" w:rsidP="00460C2C">
      <w:pPr>
        <w:pStyle w:val="Corpotesto"/>
        <w:numPr>
          <w:ilvl w:val="0"/>
          <w:numId w:val="8"/>
        </w:numPr>
        <w:rPr>
          <w:rFonts w:asciiTheme="majorHAnsi" w:hAnsiTheme="majorHAnsi"/>
        </w:rPr>
      </w:pPr>
      <w:r w:rsidRPr="000870FB">
        <w:rPr>
          <w:rFonts w:asciiTheme="majorHAnsi" w:hAnsiTheme="majorHAnsi"/>
        </w:rPr>
        <w:t>Malta, with registered offices in Valletta Waterfront, for legal and accounting</w:t>
      </w:r>
      <w:r w:rsidR="00507ADC" w:rsidRPr="000870FB">
        <w:rPr>
          <w:rFonts w:asciiTheme="majorHAnsi" w:hAnsiTheme="majorHAnsi"/>
        </w:rPr>
        <w:t>,</w:t>
      </w:r>
      <w:r w:rsidRPr="000870FB">
        <w:rPr>
          <w:rFonts w:asciiTheme="majorHAnsi" w:hAnsiTheme="majorHAnsi"/>
        </w:rPr>
        <w:t xml:space="preserve"> the offices of EMD have a dedicated team of</w:t>
      </w:r>
      <w:r w:rsidR="00507ADC" w:rsidRPr="000870FB">
        <w:rPr>
          <w:rFonts w:asciiTheme="majorHAnsi" w:hAnsiTheme="majorHAnsi"/>
        </w:rPr>
        <w:t xml:space="preserve"> two seniors and four juniors for</w:t>
      </w:r>
      <w:r w:rsidRPr="000870FB">
        <w:rPr>
          <w:rFonts w:asciiTheme="majorHAnsi" w:hAnsiTheme="majorHAnsi"/>
        </w:rPr>
        <w:t xml:space="preserve"> our company.</w:t>
      </w:r>
    </w:p>
    <w:p w:rsidR="0016590F" w:rsidRPr="000870FB" w:rsidRDefault="001B78B5" w:rsidP="00206D79">
      <w:pPr>
        <w:pStyle w:val="Corpotesto"/>
        <w:numPr>
          <w:ilvl w:val="0"/>
          <w:numId w:val="8"/>
        </w:numPr>
        <w:spacing w:before="100" w:after="100"/>
        <w:rPr>
          <w:rFonts w:asciiTheme="majorHAnsi" w:hAnsiTheme="majorHAnsi"/>
        </w:rPr>
      </w:pPr>
      <w:r w:rsidRPr="000870FB">
        <w:rPr>
          <w:rFonts w:asciiTheme="majorHAnsi" w:hAnsiTheme="majorHAnsi"/>
        </w:rPr>
        <w:t>Malta has operative offices in Portomaso, Sliema, the best location in Malta for business and leisure as well, with the support of Hilton Malta and the business center for meetings and conventions.</w:t>
      </w:r>
    </w:p>
    <w:p w:rsidR="0016590F" w:rsidRPr="000870FB" w:rsidRDefault="001B78B5" w:rsidP="00460C2C">
      <w:pPr>
        <w:pStyle w:val="Corpotesto"/>
        <w:numPr>
          <w:ilvl w:val="0"/>
          <w:numId w:val="8"/>
        </w:numPr>
        <w:rPr>
          <w:rFonts w:asciiTheme="majorHAnsi" w:hAnsiTheme="majorHAnsi"/>
        </w:rPr>
      </w:pPr>
      <w:r w:rsidRPr="000870FB">
        <w:rPr>
          <w:rFonts w:asciiTheme="majorHAnsi" w:hAnsiTheme="majorHAnsi"/>
        </w:rPr>
        <w:t xml:space="preserve">CFX is beginning with 200 sqm </w:t>
      </w:r>
      <w:r w:rsidR="00507ADC" w:rsidRPr="000870FB">
        <w:rPr>
          <w:rFonts w:asciiTheme="majorHAnsi" w:hAnsiTheme="majorHAnsi"/>
        </w:rPr>
        <w:t>involving internal meetings, with a</w:t>
      </w:r>
      <w:r w:rsidRPr="000870FB">
        <w:rPr>
          <w:rFonts w:asciiTheme="majorHAnsi" w:hAnsiTheme="majorHAnsi"/>
        </w:rPr>
        <w:t xml:space="preserve"> c</w:t>
      </w:r>
      <w:r w:rsidR="00507ADC" w:rsidRPr="000870FB">
        <w:rPr>
          <w:rFonts w:asciiTheme="majorHAnsi" w:hAnsiTheme="majorHAnsi"/>
        </w:rPr>
        <w:t xml:space="preserve">ommercial </w:t>
      </w:r>
      <w:r w:rsidRPr="000870FB">
        <w:rPr>
          <w:rFonts w:asciiTheme="majorHAnsi" w:hAnsiTheme="majorHAnsi"/>
        </w:rPr>
        <w:t>staff of 5 to 10. Group secretary and accountancy.</w:t>
      </w:r>
    </w:p>
    <w:p w:rsidR="0016590F" w:rsidRPr="000870FB" w:rsidRDefault="001B78B5" w:rsidP="00460C2C">
      <w:pPr>
        <w:pStyle w:val="Corpotesto"/>
        <w:numPr>
          <w:ilvl w:val="0"/>
          <w:numId w:val="8"/>
        </w:numPr>
        <w:rPr>
          <w:rFonts w:asciiTheme="majorHAnsi" w:hAnsiTheme="majorHAnsi"/>
        </w:rPr>
      </w:pPr>
      <w:r w:rsidRPr="000870FB">
        <w:rPr>
          <w:rFonts w:asciiTheme="majorHAnsi" w:hAnsiTheme="majorHAnsi"/>
        </w:rPr>
        <w:t>The offices are meant to grow in consideration of the fast pace of development up to 1000 sqm over time.</w:t>
      </w:r>
    </w:p>
    <w:p w:rsidR="0016590F" w:rsidRPr="000870FB" w:rsidRDefault="00507ADC" w:rsidP="00460C2C">
      <w:pPr>
        <w:pStyle w:val="Corpotesto"/>
        <w:numPr>
          <w:ilvl w:val="0"/>
          <w:numId w:val="8"/>
        </w:numPr>
        <w:rPr>
          <w:rFonts w:asciiTheme="majorHAnsi" w:hAnsiTheme="majorHAnsi"/>
        </w:rPr>
      </w:pPr>
      <w:r w:rsidRPr="000870FB">
        <w:rPr>
          <w:rFonts w:asciiTheme="majorHAnsi" w:hAnsiTheme="majorHAnsi"/>
        </w:rPr>
        <w:lastRenderedPageBreak/>
        <w:t>A</w:t>
      </w:r>
      <w:r w:rsidR="001B78B5" w:rsidRPr="000870FB">
        <w:rPr>
          <w:rFonts w:asciiTheme="majorHAnsi" w:hAnsiTheme="majorHAnsi"/>
        </w:rPr>
        <w:t xml:space="preserve"> group of five specialized financial trading experts </w:t>
      </w:r>
      <w:r w:rsidRPr="000870FB">
        <w:rPr>
          <w:rFonts w:asciiTheme="majorHAnsi" w:hAnsiTheme="majorHAnsi"/>
        </w:rPr>
        <w:t xml:space="preserve">will be </w:t>
      </w:r>
      <w:r w:rsidR="001B78B5" w:rsidRPr="000870FB">
        <w:rPr>
          <w:rFonts w:asciiTheme="majorHAnsi" w:hAnsiTheme="majorHAnsi"/>
        </w:rPr>
        <w:t>networked</w:t>
      </w:r>
      <w:r w:rsidRPr="000870FB">
        <w:rPr>
          <w:rFonts w:asciiTheme="majorHAnsi" w:hAnsiTheme="majorHAnsi"/>
        </w:rPr>
        <w:t xml:space="preserve"> in Italy, Milan and other locations</w:t>
      </w:r>
      <w:r w:rsidR="001B78B5" w:rsidRPr="000870FB">
        <w:rPr>
          <w:rFonts w:asciiTheme="majorHAnsi" w:hAnsiTheme="majorHAnsi"/>
        </w:rPr>
        <w:t>. A second group will be created in the P</w:t>
      </w:r>
      <w:r w:rsidRPr="000870FB">
        <w:rPr>
          <w:rFonts w:asciiTheme="majorHAnsi" w:hAnsiTheme="majorHAnsi"/>
        </w:rPr>
        <w:t>ortomaso offices for institutional customer support</w:t>
      </w:r>
      <w:r w:rsidR="001B78B5" w:rsidRPr="000870FB">
        <w:rPr>
          <w:rFonts w:asciiTheme="majorHAnsi" w:hAnsiTheme="majorHAnsi"/>
        </w:rPr>
        <w:t>.</w:t>
      </w:r>
    </w:p>
    <w:p w:rsidR="0016590F" w:rsidRPr="000870FB" w:rsidRDefault="001B78B5" w:rsidP="00460C2C">
      <w:pPr>
        <w:pStyle w:val="Corpotesto"/>
        <w:numPr>
          <w:ilvl w:val="0"/>
          <w:numId w:val="8"/>
        </w:numPr>
        <w:rPr>
          <w:rFonts w:asciiTheme="majorHAnsi" w:hAnsiTheme="majorHAnsi"/>
        </w:rPr>
      </w:pPr>
      <w:r w:rsidRPr="000870FB">
        <w:rPr>
          <w:rFonts w:asciiTheme="majorHAnsi" w:hAnsiTheme="majorHAnsi"/>
        </w:rPr>
        <w:t>Italy and abroad, several undisclosed server farms.</w:t>
      </w:r>
    </w:p>
    <w:p w:rsidR="004B110F" w:rsidRPr="00833D73" w:rsidRDefault="00833D73" w:rsidP="00460C2C">
      <w:pPr>
        <w:pStyle w:val="Titolo3"/>
        <w:spacing w:after="280"/>
        <w:rPr>
          <w:rFonts w:asciiTheme="majorHAnsi" w:hAnsiTheme="majorHAnsi"/>
          <w:szCs w:val="28"/>
        </w:rPr>
      </w:pPr>
      <w:r w:rsidRPr="005C456C">
        <w:rPr>
          <w:rFonts w:asciiTheme="majorHAnsi" w:hAnsiTheme="majorHAnsi"/>
          <w:noProof/>
          <w:szCs w:val="28"/>
        </w:rPr>
        <w:t>TECHNOLOGY</w:t>
      </w:r>
    </w:p>
    <w:p w:rsidR="0016590F" w:rsidRPr="000870FB" w:rsidRDefault="001B78B5" w:rsidP="00460C2C">
      <w:pPr>
        <w:pStyle w:val="Corpotesto"/>
        <w:spacing w:after="280"/>
        <w:rPr>
          <w:rFonts w:asciiTheme="majorHAnsi" w:hAnsiTheme="majorHAnsi"/>
        </w:rPr>
      </w:pPr>
      <w:r w:rsidRPr="000870FB">
        <w:rPr>
          <w:rFonts w:asciiTheme="majorHAnsi" w:hAnsiTheme="majorHAnsi"/>
        </w:rPr>
        <w:t>CFX is founded on long-term expertise in financial markets that have been converted into a specific database, software, and application. Here are the main issues regarding technology and the developments needed.</w:t>
      </w:r>
    </w:p>
    <w:p w:rsidR="0016590F" w:rsidRPr="000870FB" w:rsidRDefault="00833D73" w:rsidP="00460C2C">
      <w:pPr>
        <w:pStyle w:val="Corpotesto"/>
        <w:spacing w:after="280"/>
        <w:rPr>
          <w:rFonts w:asciiTheme="majorHAnsi" w:hAnsiTheme="majorHAnsi"/>
        </w:rPr>
      </w:pPr>
      <w:r w:rsidRPr="000870FB">
        <w:rPr>
          <w:rFonts w:asciiTheme="majorHAnsi" w:hAnsiTheme="majorHAnsi"/>
          <w:b/>
          <w:bCs/>
        </w:rPr>
        <w:t>Definitions</w:t>
      </w:r>
    </w:p>
    <w:p w:rsidR="0016590F" w:rsidRPr="000870FB" w:rsidRDefault="001B78B5" w:rsidP="00460C2C">
      <w:pPr>
        <w:pStyle w:val="Corpotesto"/>
        <w:numPr>
          <w:ilvl w:val="0"/>
          <w:numId w:val="9"/>
        </w:numPr>
        <w:rPr>
          <w:rFonts w:asciiTheme="majorHAnsi" w:hAnsiTheme="majorHAnsi"/>
        </w:rPr>
      </w:pPr>
      <w:r w:rsidRPr="000870FB">
        <w:rPr>
          <w:rFonts w:asciiTheme="majorHAnsi" w:hAnsiTheme="majorHAnsi"/>
        </w:rPr>
        <w:t>UD= under development</w:t>
      </w:r>
    </w:p>
    <w:p w:rsidR="0016590F" w:rsidRPr="000870FB" w:rsidRDefault="001B78B5" w:rsidP="00460C2C">
      <w:pPr>
        <w:pStyle w:val="Corpotesto"/>
        <w:numPr>
          <w:ilvl w:val="0"/>
          <w:numId w:val="9"/>
        </w:numPr>
        <w:rPr>
          <w:rFonts w:asciiTheme="majorHAnsi" w:hAnsiTheme="majorHAnsi"/>
        </w:rPr>
      </w:pPr>
      <w:r w:rsidRPr="000870FB">
        <w:rPr>
          <w:rFonts w:asciiTheme="majorHAnsi" w:hAnsiTheme="majorHAnsi"/>
        </w:rPr>
        <w:t>R# = actual release</w:t>
      </w:r>
    </w:p>
    <w:p w:rsidR="0016590F" w:rsidRPr="000870FB" w:rsidRDefault="001B78B5" w:rsidP="00460C2C">
      <w:pPr>
        <w:pStyle w:val="Corpotesto"/>
        <w:numPr>
          <w:ilvl w:val="0"/>
          <w:numId w:val="9"/>
        </w:numPr>
        <w:rPr>
          <w:rFonts w:asciiTheme="majorHAnsi" w:hAnsiTheme="majorHAnsi"/>
        </w:rPr>
      </w:pPr>
      <w:r w:rsidRPr="000870FB">
        <w:rPr>
          <w:rFonts w:asciiTheme="majorHAnsi" w:hAnsiTheme="majorHAnsi"/>
        </w:rPr>
        <w:t xml:space="preserve">TBI = to be integrated into the </w:t>
      </w:r>
      <w:r w:rsidRPr="005C456C">
        <w:rPr>
          <w:rFonts w:asciiTheme="majorHAnsi" w:hAnsiTheme="majorHAnsi"/>
          <w:noProof/>
        </w:rPr>
        <w:t>final</w:t>
      </w:r>
      <w:r w:rsidR="005C456C">
        <w:rPr>
          <w:rFonts w:asciiTheme="majorHAnsi" w:hAnsiTheme="majorHAnsi"/>
          <w:noProof/>
        </w:rPr>
        <w:t xml:space="preserve"> </w:t>
      </w:r>
      <w:r w:rsidRPr="005C456C">
        <w:rPr>
          <w:rFonts w:asciiTheme="majorHAnsi" w:hAnsiTheme="majorHAnsi"/>
          <w:noProof/>
        </w:rPr>
        <w:t>platform</w:t>
      </w:r>
    </w:p>
    <w:p w:rsidR="0016590F" w:rsidRPr="000870FB" w:rsidRDefault="001B78B5" w:rsidP="00460C2C">
      <w:pPr>
        <w:pStyle w:val="Corpotesto"/>
        <w:spacing w:after="280"/>
        <w:rPr>
          <w:rFonts w:asciiTheme="majorHAnsi" w:hAnsiTheme="majorHAnsi"/>
        </w:rPr>
      </w:pPr>
      <w:r w:rsidRPr="000870FB">
        <w:rPr>
          <w:rFonts w:asciiTheme="majorHAnsi" w:hAnsiTheme="majorHAnsi"/>
        </w:rPr>
        <w:t>All software could be either internally developed, rented, leased, or bought.</w:t>
      </w:r>
    </w:p>
    <w:p w:rsidR="0016590F" w:rsidRPr="000870FB" w:rsidRDefault="00833D73" w:rsidP="00460C2C">
      <w:pPr>
        <w:pStyle w:val="Corpotesto"/>
        <w:spacing w:after="280"/>
        <w:rPr>
          <w:rFonts w:asciiTheme="majorHAnsi" w:hAnsiTheme="majorHAnsi"/>
        </w:rPr>
      </w:pPr>
      <w:r w:rsidRPr="000870FB">
        <w:rPr>
          <w:rFonts w:asciiTheme="majorHAnsi" w:hAnsiTheme="majorHAnsi"/>
          <w:b/>
          <w:bCs/>
        </w:rPr>
        <w:t xml:space="preserve">Blockchain And </w:t>
      </w:r>
      <w:r w:rsidR="001A2FED" w:rsidRPr="000870FB">
        <w:rPr>
          <w:rFonts w:asciiTheme="majorHAnsi" w:hAnsiTheme="majorHAnsi"/>
          <w:b/>
          <w:bCs/>
        </w:rPr>
        <w:t xml:space="preserve">Ico </w:t>
      </w:r>
      <w:r w:rsidRPr="000870FB">
        <w:rPr>
          <w:rFonts w:asciiTheme="majorHAnsi" w:hAnsiTheme="majorHAnsi"/>
          <w:b/>
          <w:bCs/>
        </w:rPr>
        <w:t>Related</w:t>
      </w:r>
    </w:p>
    <w:p w:rsidR="0016590F" w:rsidRPr="000870FB" w:rsidRDefault="001B78B5" w:rsidP="00460C2C">
      <w:pPr>
        <w:pStyle w:val="Corpotesto"/>
        <w:numPr>
          <w:ilvl w:val="0"/>
          <w:numId w:val="10"/>
        </w:numPr>
        <w:rPr>
          <w:rFonts w:asciiTheme="majorHAnsi" w:hAnsiTheme="majorHAnsi"/>
        </w:rPr>
      </w:pPr>
      <w:r w:rsidRPr="000870FB">
        <w:rPr>
          <w:rFonts w:asciiTheme="majorHAnsi" w:hAnsiTheme="majorHAnsi"/>
        </w:rPr>
        <w:t>UD- Crowdsale smart contract</w:t>
      </w:r>
    </w:p>
    <w:p w:rsidR="0016590F" w:rsidRPr="000870FB" w:rsidRDefault="001B78B5" w:rsidP="00460C2C">
      <w:pPr>
        <w:pStyle w:val="Corpotesto"/>
        <w:numPr>
          <w:ilvl w:val="0"/>
          <w:numId w:val="10"/>
        </w:numPr>
        <w:rPr>
          <w:rFonts w:asciiTheme="majorHAnsi" w:hAnsiTheme="majorHAnsi"/>
        </w:rPr>
      </w:pPr>
      <w:r w:rsidRPr="000870FB">
        <w:rPr>
          <w:rFonts w:asciiTheme="majorHAnsi" w:hAnsiTheme="majorHAnsi"/>
        </w:rPr>
        <w:t>UD- ERC20 Tokens</w:t>
      </w:r>
    </w:p>
    <w:p w:rsidR="0016590F" w:rsidRPr="000870FB" w:rsidRDefault="001B78B5" w:rsidP="00460C2C">
      <w:pPr>
        <w:pStyle w:val="Corpotesto"/>
        <w:numPr>
          <w:ilvl w:val="0"/>
          <w:numId w:val="10"/>
        </w:numPr>
        <w:rPr>
          <w:rFonts w:asciiTheme="majorHAnsi" w:hAnsiTheme="majorHAnsi"/>
        </w:rPr>
      </w:pPr>
      <w:r w:rsidRPr="000870FB">
        <w:rPr>
          <w:rFonts w:asciiTheme="majorHAnsi" w:hAnsiTheme="majorHAnsi"/>
        </w:rPr>
        <w:t>UD- KYC Protocols integrated with Crowdsale contract</w:t>
      </w:r>
    </w:p>
    <w:p w:rsidR="0016590F" w:rsidRPr="000870FB" w:rsidRDefault="001B78B5" w:rsidP="00460C2C">
      <w:pPr>
        <w:pStyle w:val="Corpotesto"/>
        <w:numPr>
          <w:ilvl w:val="0"/>
          <w:numId w:val="10"/>
        </w:numPr>
        <w:rPr>
          <w:rFonts w:asciiTheme="majorHAnsi" w:hAnsiTheme="majorHAnsi"/>
        </w:rPr>
      </w:pPr>
      <w:r w:rsidRPr="000870FB">
        <w:rPr>
          <w:rFonts w:asciiTheme="majorHAnsi" w:hAnsiTheme="majorHAnsi"/>
        </w:rPr>
        <w:t>UD- Multisignature Wallet</w:t>
      </w:r>
    </w:p>
    <w:p w:rsidR="0016590F" w:rsidRPr="000870FB" w:rsidRDefault="001B78B5" w:rsidP="00460C2C">
      <w:pPr>
        <w:pStyle w:val="Corpotesto"/>
        <w:numPr>
          <w:ilvl w:val="0"/>
          <w:numId w:val="10"/>
        </w:numPr>
        <w:rPr>
          <w:rFonts w:asciiTheme="majorHAnsi" w:hAnsiTheme="majorHAnsi"/>
        </w:rPr>
      </w:pPr>
      <w:r w:rsidRPr="000870FB">
        <w:rPr>
          <w:rFonts w:asciiTheme="majorHAnsi" w:hAnsiTheme="majorHAnsi"/>
        </w:rPr>
        <w:t>UD- DDOS protection</w:t>
      </w:r>
    </w:p>
    <w:p w:rsidR="0016590F" w:rsidRPr="000870FB" w:rsidRDefault="001A2FED" w:rsidP="00460C2C">
      <w:pPr>
        <w:pStyle w:val="Corpotesto"/>
        <w:spacing w:after="280"/>
        <w:rPr>
          <w:rFonts w:asciiTheme="majorHAnsi" w:hAnsiTheme="majorHAnsi"/>
        </w:rPr>
      </w:pPr>
      <w:r w:rsidRPr="000870FB">
        <w:rPr>
          <w:rFonts w:asciiTheme="majorHAnsi" w:hAnsiTheme="majorHAnsi"/>
          <w:b/>
          <w:bCs/>
        </w:rPr>
        <w:t>Web And Marketing</w:t>
      </w:r>
    </w:p>
    <w:p w:rsidR="0016590F" w:rsidRPr="000870FB" w:rsidRDefault="001B78B5" w:rsidP="00460C2C">
      <w:pPr>
        <w:pStyle w:val="Corpotesto"/>
        <w:numPr>
          <w:ilvl w:val="0"/>
          <w:numId w:val="11"/>
        </w:numPr>
        <w:rPr>
          <w:rFonts w:asciiTheme="majorHAnsi" w:hAnsiTheme="majorHAnsi"/>
        </w:rPr>
      </w:pPr>
      <w:r w:rsidRPr="000870FB">
        <w:rPr>
          <w:rFonts w:asciiTheme="majorHAnsi" w:hAnsiTheme="majorHAnsi"/>
        </w:rPr>
        <w:t>R 1.0 - Website and social media integrated</w:t>
      </w:r>
    </w:p>
    <w:p w:rsidR="0016590F" w:rsidRPr="000870FB" w:rsidRDefault="001B78B5" w:rsidP="00460C2C">
      <w:pPr>
        <w:pStyle w:val="Corpotesto"/>
        <w:numPr>
          <w:ilvl w:val="0"/>
          <w:numId w:val="11"/>
        </w:numPr>
        <w:rPr>
          <w:rFonts w:asciiTheme="majorHAnsi" w:hAnsiTheme="majorHAnsi"/>
        </w:rPr>
      </w:pPr>
      <w:r w:rsidRPr="000870FB">
        <w:rPr>
          <w:rFonts w:asciiTheme="majorHAnsi" w:hAnsiTheme="majorHAnsi"/>
        </w:rPr>
        <w:t xml:space="preserve">R 1.0 - </w:t>
      </w:r>
      <w:r w:rsidRPr="005C456C">
        <w:rPr>
          <w:rFonts w:asciiTheme="majorHAnsi" w:hAnsiTheme="majorHAnsi"/>
          <w:noProof/>
        </w:rPr>
        <w:t>W</w:t>
      </w:r>
      <w:r w:rsidR="005C456C">
        <w:rPr>
          <w:rFonts w:asciiTheme="majorHAnsi" w:hAnsiTheme="majorHAnsi"/>
          <w:noProof/>
        </w:rPr>
        <w:t>eb</w:t>
      </w:r>
      <w:r w:rsidRPr="000870FB">
        <w:rPr>
          <w:rFonts w:asciiTheme="majorHAnsi" w:hAnsiTheme="majorHAnsi"/>
        </w:rPr>
        <w:t xml:space="preserve"> Marketing automation tools</w:t>
      </w:r>
    </w:p>
    <w:p w:rsidR="0016590F" w:rsidRPr="000870FB" w:rsidRDefault="001B78B5" w:rsidP="00460C2C">
      <w:pPr>
        <w:pStyle w:val="Corpotesto"/>
        <w:numPr>
          <w:ilvl w:val="0"/>
          <w:numId w:val="11"/>
        </w:numPr>
        <w:rPr>
          <w:rFonts w:asciiTheme="majorHAnsi" w:hAnsiTheme="majorHAnsi"/>
        </w:rPr>
      </w:pPr>
      <w:r w:rsidRPr="000870FB">
        <w:rPr>
          <w:rFonts w:asciiTheme="majorHAnsi" w:hAnsiTheme="majorHAnsi"/>
        </w:rPr>
        <w:t>UD- Advanced traffic analysis</w:t>
      </w:r>
    </w:p>
    <w:p w:rsidR="00833D73" w:rsidRPr="00046E2B" w:rsidRDefault="001B78B5" w:rsidP="00460C2C">
      <w:pPr>
        <w:pStyle w:val="Corpotesto"/>
        <w:numPr>
          <w:ilvl w:val="0"/>
          <w:numId w:val="11"/>
        </w:numPr>
        <w:rPr>
          <w:rFonts w:asciiTheme="majorHAnsi" w:hAnsiTheme="majorHAnsi"/>
        </w:rPr>
      </w:pPr>
      <w:r w:rsidRPr="000870FB">
        <w:rPr>
          <w:rFonts w:asciiTheme="majorHAnsi" w:hAnsiTheme="majorHAnsi"/>
        </w:rPr>
        <w:t>R 1.0 - Email automation</w:t>
      </w:r>
    </w:p>
    <w:p w:rsidR="0016590F" w:rsidRPr="000870FB" w:rsidRDefault="00833D73" w:rsidP="00460C2C">
      <w:pPr>
        <w:pStyle w:val="Corpotesto"/>
        <w:spacing w:after="280"/>
        <w:rPr>
          <w:rFonts w:asciiTheme="majorHAnsi" w:hAnsiTheme="majorHAnsi"/>
        </w:rPr>
      </w:pPr>
      <w:r w:rsidRPr="000870FB">
        <w:rPr>
          <w:rFonts w:asciiTheme="majorHAnsi" w:hAnsiTheme="majorHAnsi"/>
          <w:b/>
          <w:bCs/>
        </w:rPr>
        <w:t>Customer Support</w:t>
      </w:r>
    </w:p>
    <w:p w:rsidR="0016590F" w:rsidRPr="000870FB" w:rsidRDefault="001B78B5" w:rsidP="00460C2C">
      <w:pPr>
        <w:pStyle w:val="Corpotesto"/>
        <w:numPr>
          <w:ilvl w:val="0"/>
          <w:numId w:val="12"/>
        </w:numPr>
        <w:rPr>
          <w:rFonts w:asciiTheme="majorHAnsi" w:hAnsiTheme="majorHAnsi"/>
        </w:rPr>
      </w:pPr>
      <w:r w:rsidRPr="000870FB">
        <w:rPr>
          <w:rFonts w:asciiTheme="majorHAnsi" w:hAnsiTheme="majorHAnsi"/>
        </w:rPr>
        <w:t>UD - Web chat system</w:t>
      </w:r>
    </w:p>
    <w:p w:rsidR="0016590F" w:rsidRPr="000870FB" w:rsidRDefault="001B78B5" w:rsidP="00460C2C">
      <w:pPr>
        <w:pStyle w:val="Corpotesto"/>
        <w:numPr>
          <w:ilvl w:val="0"/>
          <w:numId w:val="12"/>
        </w:numPr>
        <w:rPr>
          <w:rFonts w:asciiTheme="majorHAnsi" w:hAnsiTheme="majorHAnsi"/>
        </w:rPr>
      </w:pPr>
      <w:r w:rsidRPr="000870FB">
        <w:rPr>
          <w:rFonts w:asciiTheme="majorHAnsi" w:hAnsiTheme="majorHAnsi"/>
        </w:rPr>
        <w:t>UD - Call center app</w:t>
      </w:r>
    </w:p>
    <w:p w:rsidR="0016590F" w:rsidRPr="000870FB" w:rsidRDefault="001B78B5" w:rsidP="00460C2C">
      <w:pPr>
        <w:pStyle w:val="Corpotesto"/>
        <w:numPr>
          <w:ilvl w:val="0"/>
          <w:numId w:val="12"/>
        </w:numPr>
        <w:rPr>
          <w:rFonts w:asciiTheme="majorHAnsi" w:hAnsiTheme="majorHAnsi"/>
        </w:rPr>
      </w:pPr>
      <w:r w:rsidRPr="000870FB">
        <w:rPr>
          <w:rFonts w:asciiTheme="majorHAnsi" w:hAnsiTheme="majorHAnsi"/>
        </w:rPr>
        <w:lastRenderedPageBreak/>
        <w:t>UD - Voice over IP</w:t>
      </w:r>
    </w:p>
    <w:p w:rsidR="0016590F" w:rsidRPr="000870FB" w:rsidRDefault="00833D73" w:rsidP="00460C2C">
      <w:pPr>
        <w:pStyle w:val="Corpotesto"/>
        <w:spacing w:after="280"/>
        <w:rPr>
          <w:rFonts w:asciiTheme="majorHAnsi" w:hAnsiTheme="majorHAnsi"/>
        </w:rPr>
      </w:pPr>
      <w:r w:rsidRPr="000870FB">
        <w:rPr>
          <w:rFonts w:asciiTheme="majorHAnsi" w:hAnsiTheme="majorHAnsi"/>
          <w:b/>
          <w:bCs/>
        </w:rPr>
        <w:t>Financial Platforms</w:t>
      </w:r>
    </w:p>
    <w:p w:rsidR="0016590F" w:rsidRPr="000870FB" w:rsidRDefault="001B78B5" w:rsidP="00460C2C">
      <w:pPr>
        <w:pStyle w:val="Corpotesto"/>
        <w:numPr>
          <w:ilvl w:val="0"/>
          <w:numId w:val="13"/>
        </w:numPr>
        <w:rPr>
          <w:rFonts w:asciiTheme="majorHAnsi" w:hAnsiTheme="majorHAnsi"/>
        </w:rPr>
      </w:pPr>
      <w:r w:rsidRPr="000870FB">
        <w:rPr>
          <w:rFonts w:asciiTheme="majorHAnsi" w:hAnsiTheme="majorHAnsi"/>
        </w:rPr>
        <w:t>R 10.0 - TBI- BIG DATA of worldwide financial assets</w:t>
      </w:r>
    </w:p>
    <w:p w:rsidR="0016590F" w:rsidRPr="000870FB" w:rsidRDefault="001B78B5" w:rsidP="00460C2C">
      <w:pPr>
        <w:pStyle w:val="Corpotesto"/>
        <w:numPr>
          <w:ilvl w:val="0"/>
          <w:numId w:val="13"/>
        </w:numPr>
        <w:rPr>
          <w:rFonts w:asciiTheme="majorHAnsi" w:hAnsiTheme="majorHAnsi"/>
        </w:rPr>
      </w:pPr>
      <w:r w:rsidRPr="000870FB">
        <w:rPr>
          <w:rFonts w:asciiTheme="majorHAnsi" w:hAnsiTheme="majorHAnsi"/>
        </w:rPr>
        <w:t>R 7.5 - TBI - Trading system projects and formulas</w:t>
      </w:r>
    </w:p>
    <w:p w:rsidR="0016590F" w:rsidRPr="000870FB" w:rsidRDefault="001B78B5" w:rsidP="00460C2C">
      <w:pPr>
        <w:pStyle w:val="Corpotesto"/>
        <w:numPr>
          <w:ilvl w:val="0"/>
          <w:numId w:val="13"/>
        </w:numPr>
        <w:rPr>
          <w:rFonts w:asciiTheme="majorHAnsi" w:hAnsiTheme="majorHAnsi"/>
        </w:rPr>
      </w:pPr>
      <w:r w:rsidRPr="000870FB">
        <w:rPr>
          <w:rFonts w:asciiTheme="majorHAnsi" w:hAnsiTheme="majorHAnsi"/>
        </w:rPr>
        <w:t>R 3.0 - TBI - Execution automation</w:t>
      </w:r>
    </w:p>
    <w:p w:rsidR="0016590F" w:rsidRPr="000870FB" w:rsidRDefault="001B78B5" w:rsidP="00460C2C">
      <w:pPr>
        <w:pStyle w:val="Corpotesto"/>
        <w:numPr>
          <w:ilvl w:val="0"/>
          <w:numId w:val="13"/>
        </w:numPr>
        <w:rPr>
          <w:rFonts w:asciiTheme="majorHAnsi" w:hAnsiTheme="majorHAnsi"/>
        </w:rPr>
      </w:pPr>
      <w:r w:rsidRPr="000870FB">
        <w:rPr>
          <w:rFonts w:asciiTheme="majorHAnsi" w:hAnsiTheme="majorHAnsi"/>
        </w:rPr>
        <w:t>R 8.0 - the Institutional financial platform on all asset classes, multi-timeframes, proprietary forecasting systems</w:t>
      </w:r>
    </w:p>
    <w:p w:rsidR="0016590F" w:rsidRPr="000870FB" w:rsidRDefault="001B78B5" w:rsidP="00460C2C">
      <w:pPr>
        <w:pStyle w:val="Corpotesto"/>
        <w:numPr>
          <w:ilvl w:val="0"/>
          <w:numId w:val="13"/>
        </w:numPr>
        <w:rPr>
          <w:rFonts w:asciiTheme="majorHAnsi" w:hAnsiTheme="majorHAnsi"/>
        </w:rPr>
      </w:pPr>
      <w:r w:rsidRPr="000870FB">
        <w:rPr>
          <w:rFonts w:asciiTheme="majorHAnsi" w:hAnsiTheme="majorHAnsi"/>
        </w:rPr>
        <w:t>R. 6.5 - TBI - Artificial intelligence engine</w:t>
      </w:r>
    </w:p>
    <w:p w:rsidR="0016590F" w:rsidRPr="000870FB" w:rsidRDefault="001B78B5" w:rsidP="00460C2C">
      <w:pPr>
        <w:pStyle w:val="Corpotesto"/>
        <w:numPr>
          <w:ilvl w:val="0"/>
          <w:numId w:val="13"/>
        </w:numPr>
        <w:rPr>
          <w:rFonts w:asciiTheme="majorHAnsi" w:hAnsiTheme="majorHAnsi"/>
        </w:rPr>
      </w:pPr>
      <w:r w:rsidRPr="000870FB">
        <w:rPr>
          <w:rFonts w:asciiTheme="majorHAnsi" w:hAnsiTheme="majorHAnsi"/>
        </w:rPr>
        <w:t>UD - CFX Sentiment application (Web- mobile app)</w:t>
      </w:r>
    </w:p>
    <w:p w:rsidR="0016590F" w:rsidRPr="000870FB" w:rsidRDefault="001B78B5" w:rsidP="00460C2C">
      <w:pPr>
        <w:pStyle w:val="Corpotesto"/>
        <w:numPr>
          <w:ilvl w:val="0"/>
          <w:numId w:val="13"/>
        </w:numPr>
        <w:rPr>
          <w:rFonts w:asciiTheme="majorHAnsi" w:hAnsiTheme="majorHAnsi"/>
        </w:rPr>
      </w:pPr>
      <w:r w:rsidRPr="000870FB">
        <w:rPr>
          <w:rFonts w:asciiTheme="majorHAnsi" w:hAnsiTheme="majorHAnsi"/>
        </w:rPr>
        <w:t>UD - Statistical analysis of sentiment data</w:t>
      </w:r>
    </w:p>
    <w:p w:rsidR="0016590F" w:rsidRPr="000870FB" w:rsidRDefault="001B78B5" w:rsidP="00460C2C">
      <w:pPr>
        <w:pStyle w:val="Corpotesto"/>
        <w:numPr>
          <w:ilvl w:val="0"/>
          <w:numId w:val="13"/>
        </w:numPr>
        <w:rPr>
          <w:rFonts w:asciiTheme="majorHAnsi" w:hAnsiTheme="majorHAnsi"/>
        </w:rPr>
      </w:pPr>
      <w:r w:rsidRPr="000870FB">
        <w:rPr>
          <w:rFonts w:asciiTheme="majorHAnsi" w:hAnsiTheme="majorHAnsi"/>
        </w:rPr>
        <w:t>UD - Engine for database info extraction and automatic publishing</w:t>
      </w:r>
    </w:p>
    <w:p w:rsidR="00673757" w:rsidRPr="00833D73" w:rsidRDefault="00833D73" w:rsidP="00460C2C">
      <w:pPr>
        <w:pStyle w:val="Titolo3"/>
        <w:spacing w:after="280"/>
        <w:rPr>
          <w:rFonts w:asciiTheme="majorHAnsi" w:hAnsiTheme="majorHAnsi"/>
          <w:szCs w:val="28"/>
        </w:rPr>
      </w:pPr>
      <w:r w:rsidRPr="005C456C">
        <w:rPr>
          <w:rFonts w:asciiTheme="majorHAnsi" w:hAnsiTheme="majorHAnsi"/>
          <w:noProof/>
          <w:szCs w:val="28"/>
        </w:rPr>
        <w:t>EQUIPMENT</w:t>
      </w:r>
      <w:r w:rsidRPr="00833D73">
        <w:rPr>
          <w:rFonts w:asciiTheme="majorHAnsi" w:hAnsiTheme="majorHAnsi"/>
          <w:szCs w:val="28"/>
        </w:rPr>
        <w:t xml:space="preserve"> &amp; TOOLS</w:t>
      </w:r>
    </w:p>
    <w:p w:rsidR="0016590F" w:rsidRPr="000870FB" w:rsidRDefault="001B78B5" w:rsidP="00460C2C">
      <w:pPr>
        <w:pStyle w:val="Corpotesto"/>
        <w:spacing w:after="280"/>
        <w:rPr>
          <w:rFonts w:asciiTheme="majorHAnsi" w:hAnsiTheme="majorHAnsi"/>
        </w:rPr>
      </w:pPr>
      <w:r w:rsidRPr="000870FB">
        <w:rPr>
          <w:rFonts w:asciiTheme="majorHAnsi" w:hAnsiTheme="majorHAnsi"/>
        </w:rPr>
        <w:t xml:space="preserve">The Equipment of CFX is made </w:t>
      </w:r>
      <w:r w:rsidRPr="005C456C">
        <w:rPr>
          <w:rFonts w:asciiTheme="majorHAnsi" w:hAnsiTheme="majorHAnsi"/>
          <w:noProof/>
        </w:rPr>
        <w:t>up</w:t>
      </w:r>
      <w:r w:rsidR="00A837D9">
        <w:rPr>
          <w:rFonts w:asciiTheme="majorHAnsi" w:hAnsiTheme="majorHAnsi"/>
          <w:noProof/>
        </w:rPr>
        <w:t xml:space="preserve"> of </w:t>
      </w:r>
      <w:r w:rsidRPr="00A837D9">
        <w:rPr>
          <w:rFonts w:asciiTheme="majorHAnsi" w:hAnsiTheme="majorHAnsi"/>
          <w:noProof/>
        </w:rPr>
        <w:t>office</w:t>
      </w:r>
      <w:r w:rsidRPr="000870FB">
        <w:rPr>
          <w:rFonts w:asciiTheme="majorHAnsi" w:hAnsiTheme="majorHAnsi"/>
        </w:rPr>
        <w:t xml:space="preserve"> hardware and furniture. No office, cars or servers</w:t>
      </w:r>
      <w:r w:rsidR="007A0149" w:rsidRPr="000870FB">
        <w:rPr>
          <w:rFonts w:asciiTheme="majorHAnsi" w:hAnsiTheme="majorHAnsi"/>
        </w:rPr>
        <w:t xml:space="preserve"> will be bought unless essential</w:t>
      </w:r>
      <w:r w:rsidRPr="000870FB">
        <w:rPr>
          <w:rFonts w:asciiTheme="majorHAnsi" w:hAnsiTheme="majorHAnsi"/>
        </w:rPr>
        <w:t>. Once the growth has been consolidated</w:t>
      </w:r>
      <w:r w:rsidR="007A0149" w:rsidRPr="000870FB">
        <w:rPr>
          <w:rFonts w:asciiTheme="majorHAnsi" w:hAnsiTheme="majorHAnsi"/>
        </w:rPr>
        <w:t>,</w:t>
      </w:r>
      <w:r w:rsidRPr="000870FB">
        <w:rPr>
          <w:rFonts w:asciiTheme="majorHAnsi" w:hAnsiTheme="majorHAnsi"/>
        </w:rPr>
        <w:t xml:space="preserve"> an office may be bought instead of rented.</w:t>
      </w:r>
    </w:p>
    <w:p w:rsidR="0016590F" w:rsidRPr="000870FB" w:rsidRDefault="00833D73" w:rsidP="00460C2C">
      <w:pPr>
        <w:pStyle w:val="Corpotesto"/>
        <w:spacing w:after="280"/>
        <w:rPr>
          <w:rFonts w:asciiTheme="majorHAnsi" w:hAnsiTheme="majorHAnsi"/>
        </w:rPr>
      </w:pPr>
      <w:r w:rsidRPr="000870FB">
        <w:rPr>
          <w:rFonts w:asciiTheme="majorHAnsi" w:hAnsiTheme="majorHAnsi"/>
          <w:b/>
          <w:bCs/>
        </w:rPr>
        <w:t>Hardware At Startup</w:t>
      </w:r>
    </w:p>
    <w:p w:rsidR="0016590F" w:rsidRPr="000870FB" w:rsidRDefault="001B78B5" w:rsidP="00460C2C">
      <w:pPr>
        <w:pStyle w:val="Corpotesto"/>
        <w:numPr>
          <w:ilvl w:val="0"/>
          <w:numId w:val="14"/>
        </w:numPr>
        <w:rPr>
          <w:rFonts w:asciiTheme="majorHAnsi" w:hAnsiTheme="majorHAnsi"/>
        </w:rPr>
      </w:pPr>
      <w:r w:rsidRPr="000870FB">
        <w:rPr>
          <w:rFonts w:asciiTheme="majorHAnsi" w:hAnsiTheme="majorHAnsi"/>
        </w:rPr>
        <w:t>5 Laptop PC - Managers</w:t>
      </w:r>
    </w:p>
    <w:p w:rsidR="0016590F" w:rsidRPr="000870FB" w:rsidRDefault="001B78B5" w:rsidP="00460C2C">
      <w:pPr>
        <w:pStyle w:val="Corpotesto"/>
        <w:numPr>
          <w:ilvl w:val="0"/>
          <w:numId w:val="14"/>
        </w:numPr>
        <w:rPr>
          <w:rFonts w:asciiTheme="majorHAnsi" w:hAnsiTheme="majorHAnsi"/>
        </w:rPr>
      </w:pPr>
      <w:r w:rsidRPr="000870FB">
        <w:rPr>
          <w:rFonts w:asciiTheme="majorHAnsi" w:hAnsiTheme="majorHAnsi"/>
        </w:rPr>
        <w:t>5 tablet - Managers</w:t>
      </w:r>
    </w:p>
    <w:p w:rsidR="0016590F" w:rsidRPr="000870FB" w:rsidRDefault="001B78B5" w:rsidP="00460C2C">
      <w:pPr>
        <w:pStyle w:val="Corpotesto"/>
        <w:numPr>
          <w:ilvl w:val="0"/>
          <w:numId w:val="14"/>
        </w:numPr>
        <w:rPr>
          <w:rFonts w:asciiTheme="majorHAnsi" w:hAnsiTheme="majorHAnsi"/>
        </w:rPr>
      </w:pPr>
      <w:r w:rsidRPr="000870FB">
        <w:rPr>
          <w:rFonts w:asciiTheme="majorHAnsi" w:hAnsiTheme="majorHAnsi"/>
        </w:rPr>
        <w:t xml:space="preserve">5 </w:t>
      </w:r>
      <w:r w:rsidR="005F12DC" w:rsidRPr="000870FB">
        <w:rPr>
          <w:rFonts w:asciiTheme="majorHAnsi" w:hAnsiTheme="majorHAnsi"/>
          <w:noProof/>
        </w:rPr>
        <w:t>iP</w:t>
      </w:r>
      <w:r w:rsidRPr="000870FB">
        <w:rPr>
          <w:rFonts w:asciiTheme="majorHAnsi" w:hAnsiTheme="majorHAnsi"/>
          <w:noProof/>
        </w:rPr>
        <w:t>hone</w:t>
      </w:r>
      <w:r w:rsidRPr="000870FB">
        <w:rPr>
          <w:rFonts w:asciiTheme="majorHAnsi" w:hAnsiTheme="majorHAnsi"/>
        </w:rPr>
        <w:t xml:space="preserve"> - Managers</w:t>
      </w:r>
    </w:p>
    <w:p w:rsidR="0016590F" w:rsidRPr="000870FB" w:rsidRDefault="001B78B5" w:rsidP="00460C2C">
      <w:pPr>
        <w:pStyle w:val="Corpotesto"/>
        <w:numPr>
          <w:ilvl w:val="0"/>
          <w:numId w:val="14"/>
        </w:numPr>
        <w:rPr>
          <w:rFonts w:asciiTheme="majorHAnsi" w:hAnsiTheme="majorHAnsi"/>
        </w:rPr>
      </w:pPr>
      <w:r w:rsidRPr="000870FB">
        <w:rPr>
          <w:rFonts w:asciiTheme="majorHAnsi" w:hAnsiTheme="majorHAnsi"/>
        </w:rPr>
        <w:t>10 Desktop PC - operative offices  in Malta</w:t>
      </w:r>
    </w:p>
    <w:p w:rsidR="0016590F" w:rsidRPr="000870FB" w:rsidRDefault="001B78B5" w:rsidP="00460C2C">
      <w:pPr>
        <w:pStyle w:val="Corpotesto"/>
        <w:numPr>
          <w:ilvl w:val="0"/>
          <w:numId w:val="14"/>
        </w:numPr>
        <w:rPr>
          <w:rFonts w:asciiTheme="majorHAnsi" w:hAnsiTheme="majorHAnsi"/>
        </w:rPr>
      </w:pPr>
      <w:r w:rsidRPr="000870FB">
        <w:rPr>
          <w:rFonts w:asciiTheme="majorHAnsi" w:hAnsiTheme="majorHAnsi"/>
        </w:rPr>
        <w:t xml:space="preserve">6 </w:t>
      </w:r>
      <w:r w:rsidRPr="000870FB">
        <w:rPr>
          <w:rFonts w:asciiTheme="majorHAnsi" w:hAnsiTheme="majorHAnsi"/>
          <w:noProof/>
        </w:rPr>
        <w:t>High</w:t>
      </w:r>
      <w:r w:rsidR="005F12DC" w:rsidRPr="000870FB">
        <w:rPr>
          <w:rFonts w:asciiTheme="majorHAnsi" w:hAnsiTheme="majorHAnsi"/>
          <w:noProof/>
        </w:rPr>
        <w:t>-</w:t>
      </w:r>
      <w:r w:rsidRPr="000870FB">
        <w:rPr>
          <w:rFonts w:asciiTheme="majorHAnsi" w:hAnsiTheme="majorHAnsi"/>
          <w:noProof/>
        </w:rPr>
        <w:t>end</w:t>
      </w:r>
      <w:r w:rsidRPr="000870FB">
        <w:rPr>
          <w:rFonts w:asciiTheme="majorHAnsi" w:hAnsiTheme="majorHAnsi"/>
        </w:rPr>
        <w:t xml:space="preserve"> workstations with double screen - CTO -Head of Investment - Traders</w:t>
      </w:r>
    </w:p>
    <w:p w:rsidR="0016590F" w:rsidRPr="000870FB" w:rsidRDefault="001B78B5" w:rsidP="00460C2C">
      <w:pPr>
        <w:pStyle w:val="Corpotesto"/>
        <w:numPr>
          <w:ilvl w:val="0"/>
          <w:numId w:val="14"/>
        </w:numPr>
        <w:rPr>
          <w:rFonts w:asciiTheme="majorHAnsi" w:hAnsiTheme="majorHAnsi"/>
        </w:rPr>
      </w:pPr>
      <w:r w:rsidRPr="000870FB">
        <w:rPr>
          <w:rFonts w:asciiTheme="majorHAnsi" w:hAnsiTheme="majorHAnsi"/>
        </w:rPr>
        <w:t>Leased servers on server farms</w:t>
      </w:r>
      <w:r w:rsidR="007A0149" w:rsidRPr="000870FB">
        <w:rPr>
          <w:rFonts w:asciiTheme="majorHAnsi" w:hAnsiTheme="majorHAnsi"/>
        </w:rPr>
        <w:t>,</w:t>
      </w:r>
      <w:r w:rsidRPr="000870FB">
        <w:rPr>
          <w:rFonts w:asciiTheme="majorHAnsi" w:hAnsiTheme="majorHAnsi"/>
        </w:rPr>
        <w:t xml:space="preserve"> fl</w:t>
      </w:r>
      <w:r w:rsidR="007A0149" w:rsidRPr="000870FB">
        <w:rPr>
          <w:rFonts w:asciiTheme="majorHAnsi" w:hAnsiTheme="majorHAnsi"/>
        </w:rPr>
        <w:t>exible based on traffic and</w:t>
      </w:r>
      <w:r w:rsidRPr="000870FB">
        <w:rPr>
          <w:rFonts w:asciiTheme="majorHAnsi" w:hAnsiTheme="majorHAnsi"/>
        </w:rPr>
        <w:t xml:space="preserve"> computing capacity</w:t>
      </w:r>
      <w:r w:rsidR="007A0149" w:rsidRPr="000870FB">
        <w:rPr>
          <w:rFonts w:asciiTheme="majorHAnsi" w:hAnsiTheme="majorHAnsi"/>
        </w:rPr>
        <w:t xml:space="preserve"> needs</w:t>
      </w:r>
      <w:r w:rsidRPr="000870FB">
        <w:rPr>
          <w:rFonts w:asciiTheme="majorHAnsi" w:hAnsiTheme="majorHAnsi"/>
        </w:rPr>
        <w:t>.</w:t>
      </w:r>
    </w:p>
    <w:tbl>
      <w:tblPr>
        <w:tblStyle w:val="Grigliatabella"/>
        <w:tblW w:w="0" w:type="auto"/>
        <w:tblBorders>
          <w:top w:val="none" w:sz="0" w:space="0" w:color="auto"/>
          <w:left w:val="none" w:sz="0" w:space="0" w:color="auto"/>
          <w:bottom w:val="single" w:sz="12" w:space="0" w:color="018BB3"/>
          <w:right w:val="none" w:sz="0" w:space="0" w:color="auto"/>
          <w:insideH w:val="none" w:sz="0" w:space="0" w:color="auto"/>
          <w:insideV w:val="none" w:sz="0" w:space="0" w:color="auto"/>
        </w:tblBorders>
        <w:tblCellMar>
          <w:top w:w="432" w:type="dxa"/>
          <w:left w:w="115" w:type="dxa"/>
          <w:bottom w:w="432" w:type="dxa"/>
          <w:right w:w="115" w:type="dxa"/>
        </w:tblCellMar>
        <w:tblLook w:val="04A0" w:firstRow="1" w:lastRow="0" w:firstColumn="1" w:lastColumn="0" w:noHBand="0" w:noVBand="1"/>
      </w:tblPr>
      <w:tblGrid>
        <w:gridCol w:w="9576"/>
      </w:tblGrid>
      <w:tr w:rsidR="00587998" w:rsidTr="00587998">
        <w:tc>
          <w:tcPr>
            <w:tcW w:w="9576" w:type="dxa"/>
          </w:tcPr>
          <w:p w:rsidR="00587998" w:rsidRPr="00587998" w:rsidRDefault="00587998" w:rsidP="00460C2C">
            <w:pPr>
              <w:pStyle w:val="Titolo1"/>
              <w:spacing w:before="100" w:after="100"/>
              <w:rPr>
                <w:rFonts w:ascii="Franklin Gothic Demi" w:eastAsia="Times New Roman" w:hAnsi="Franklin Gothic Demi" w:cs="Times New Roman"/>
                <w:b w:val="0"/>
                <w:bCs w:val="0"/>
                <w:color w:val="018BB3"/>
                <w:spacing w:val="26"/>
                <w:kern w:val="0"/>
                <w:szCs w:val="44"/>
              </w:rPr>
            </w:pPr>
            <w:bookmarkStart w:id="66" w:name="_Toc523440001"/>
            <w:bookmarkStart w:id="67" w:name="_Toc256000068"/>
            <w:bookmarkStart w:id="68" w:name="_Toc256000049"/>
            <w:bookmarkStart w:id="69" w:name="_Toc256000030"/>
            <w:bookmarkStart w:id="70" w:name="_Toc256000011"/>
            <w:r w:rsidRPr="00587998">
              <w:rPr>
                <w:rFonts w:ascii="Franklin Gothic Demi" w:eastAsia="Times New Roman" w:hAnsi="Franklin Gothic Demi" w:cs="Times New Roman"/>
                <w:b w:val="0"/>
                <w:bCs w:val="0"/>
                <w:color w:val="018BB3"/>
                <w:spacing w:val="26"/>
                <w:kern w:val="0"/>
                <w:szCs w:val="44"/>
              </w:rPr>
              <w:lastRenderedPageBreak/>
              <w:t>Company</w:t>
            </w:r>
            <w:bookmarkEnd w:id="66"/>
          </w:p>
        </w:tc>
      </w:tr>
    </w:tbl>
    <w:p w:rsidR="003354B4" w:rsidRPr="00E0786A" w:rsidRDefault="003354B4" w:rsidP="00460C2C">
      <w:pPr>
        <w:pStyle w:val="Titolo2"/>
        <w:rPr>
          <w:rFonts w:eastAsia="Times New Roman" w:cs="Times New Roman"/>
          <w:bCs w:val="0"/>
          <w:iCs w:val="0"/>
          <w:color w:val="FF0000"/>
          <w:spacing w:val="26"/>
          <w:szCs w:val="36"/>
        </w:rPr>
      </w:pPr>
      <w:bookmarkStart w:id="71" w:name="_Toc256000069"/>
      <w:bookmarkStart w:id="72" w:name="_Toc256000050"/>
      <w:bookmarkStart w:id="73" w:name="_Toc256000031"/>
      <w:bookmarkStart w:id="74" w:name="_Toc256000012"/>
      <w:bookmarkStart w:id="75" w:name="_Toc523294933"/>
      <w:bookmarkEnd w:id="67"/>
      <w:bookmarkEnd w:id="68"/>
      <w:bookmarkEnd w:id="69"/>
      <w:bookmarkEnd w:id="70"/>
      <w:r w:rsidRPr="00E0786A">
        <w:rPr>
          <w:rFonts w:eastAsia="Times New Roman" w:cs="Times New Roman"/>
          <w:bCs w:val="0"/>
          <w:iCs w:val="0"/>
          <w:color w:val="FF0000"/>
          <w:spacing w:val="26"/>
          <w:szCs w:val="36"/>
        </w:rPr>
        <w:t>Overview</w:t>
      </w:r>
      <w:bookmarkEnd w:id="71"/>
      <w:bookmarkEnd w:id="72"/>
      <w:bookmarkEnd w:id="73"/>
      <w:bookmarkEnd w:id="74"/>
      <w:bookmarkEnd w:id="75"/>
    </w:p>
    <w:p w:rsidR="003354B4" w:rsidRPr="00E0786A" w:rsidRDefault="003354B4" w:rsidP="00460C2C">
      <w:pPr>
        <w:pStyle w:val="Titolo3"/>
        <w:spacing w:after="280"/>
        <w:rPr>
          <w:rFonts w:eastAsia="Times New Roman" w:cs="Times New Roman"/>
          <w:bCs w:val="0"/>
          <w:noProof/>
          <w:color w:val="FF0000"/>
          <w:spacing w:val="26"/>
          <w:sz w:val="36"/>
          <w:szCs w:val="36"/>
          <w:lang w:val="en-US" w:eastAsia="en-US"/>
        </w:rPr>
      </w:pPr>
      <w:r w:rsidRPr="00E0786A">
        <w:rPr>
          <w:rFonts w:eastAsia="Times New Roman" w:cs="Times New Roman"/>
          <w:bCs w:val="0"/>
          <w:noProof/>
          <w:color w:val="FF0000"/>
          <w:spacing w:val="26"/>
          <w:sz w:val="36"/>
          <w:szCs w:val="36"/>
          <w:lang w:val="en-US" w:eastAsia="en-US"/>
        </w:rPr>
        <w:t>Ownership &amp; Structure</w:t>
      </w:r>
    </w:p>
    <w:p w:rsidR="003354B4" w:rsidRPr="00E0786A" w:rsidRDefault="003354B4" w:rsidP="00460C2C">
      <w:pPr>
        <w:pStyle w:val="Titolo3"/>
        <w:spacing w:after="280"/>
        <w:rPr>
          <w:rFonts w:eastAsia="Times New Roman" w:cs="Times New Roman"/>
          <w:bCs w:val="0"/>
          <w:noProof/>
          <w:color w:val="FF0000"/>
          <w:spacing w:val="26"/>
          <w:sz w:val="36"/>
          <w:szCs w:val="36"/>
          <w:lang w:val="en-US" w:eastAsia="en-US"/>
        </w:rPr>
      </w:pPr>
      <w:r w:rsidRPr="00E0786A">
        <w:rPr>
          <w:rFonts w:eastAsia="Times New Roman" w:cs="Times New Roman"/>
          <w:bCs w:val="0"/>
          <w:noProof/>
          <w:color w:val="FF0000"/>
          <w:spacing w:val="26"/>
          <w:sz w:val="36"/>
          <w:szCs w:val="36"/>
          <w:lang w:val="en-US" w:eastAsia="en-US"/>
        </w:rPr>
        <w:t>Company histor</w:t>
      </w:r>
      <w:r>
        <w:rPr>
          <w:rFonts w:eastAsia="Times New Roman" w:cs="Times New Roman"/>
          <w:bCs w:val="0"/>
          <w:noProof/>
          <w:color w:val="FF0000"/>
          <w:spacing w:val="26"/>
          <w:sz w:val="36"/>
          <w:szCs w:val="36"/>
          <w:lang w:val="en-US" w:eastAsia="en-US"/>
        </w:rPr>
        <w:t>y</w:t>
      </w:r>
    </w:p>
    <w:p w:rsidR="003354B4" w:rsidRDefault="003354B4" w:rsidP="00460C2C">
      <w:pPr>
        <w:pStyle w:val="Titolo3"/>
        <w:spacing w:after="280"/>
        <w:rPr>
          <w:rFonts w:ascii="Franklin Gothic Demi" w:eastAsia="Times New Roman" w:hAnsi="Franklin Gothic Demi" w:cs="Times New Roman"/>
          <w:b w:val="0"/>
          <w:bCs w:val="0"/>
          <w:color w:val="018BB3"/>
          <w:spacing w:val="26"/>
          <w:sz w:val="36"/>
          <w:szCs w:val="36"/>
        </w:rPr>
      </w:pPr>
      <w:r w:rsidRPr="001F0F23">
        <w:rPr>
          <w:rFonts w:ascii="Franklin Gothic Demi" w:eastAsia="Times New Roman" w:hAnsi="Franklin Gothic Demi" w:cs="Times New Roman"/>
          <w:b w:val="0"/>
          <w:bCs w:val="0"/>
          <w:color w:val="018BB3"/>
          <w:spacing w:val="26"/>
          <w:sz w:val="36"/>
          <w:szCs w:val="36"/>
        </w:rPr>
        <w:t>Management Team</w:t>
      </w:r>
    </w:p>
    <w:p w:rsidR="003354B4" w:rsidRPr="001F0F23" w:rsidRDefault="003354B4" w:rsidP="00460C2C">
      <w:pPr>
        <w:pStyle w:val="Titolo3"/>
        <w:spacing w:after="280"/>
        <w:rPr>
          <w:rFonts w:asciiTheme="majorHAnsi" w:eastAsia="Times New Roman" w:hAnsiTheme="majorHAnsi" w:cs="Times New Roman"/>
          <w:bCs w:val="0"/>
          <w:color w:val="018BB3"/>
          <w:spacing w:val="26"/>
          <w:sz w:val="36"/>
          <w:szCs w:val="36"/>
        </w:rPr>
      </w:pPr>
      <w:r w:rsidRPr="001F0F23">
        <w:rPr>
          <w:rFonts w:asciiTheme="majorHAnsi" w:hAnsiTheme="majorHAnsi"/>
          <w:color w:val="FF0000"/>
          <w:sz w:val="24"/>
          <w:szCs w:val="24"/>
        </w:rPr>
        <w:t>Add bios and headshots</w:t>
      </w:r>
    </w:p>
    <w:p w:rsidR="004B110F" w:rsidRPr="00587998" w:rsidRDefault="001B78B5" w:rsidP="00460C2C">
      <w:pPr>
        <w:pStyle w:val="Corpotesto"/>
        <w:spacing w:after="280"/>
        <w:rPr>
          <w:rFonts w:asciiTheme="majorHAnsi" w:hAnsiTheme="majorHAnsi"/>
        </w:rPr>
      </w:pPr>
      <w:r w:rsidRPr="00587998">
        <w:rPr>
          <w:rFonts w:asciiTheme="majorHAnsi" w:hAnsiTheme="majorHAnsi"/>
        </w:rPr>
        <w:t xml:space="preserve">The management team of </w:t>
      </w:r>
      <w:r w:rsidR="007A0149" w:rsidRPr="00587998">
        <w:rPr>
          <w:rFonts w:asciiTheme="majorHAnsi" w:hAnsiTheme="majorHAnsi"/>
        </w:rPr>
        <w:t xml:space="preserve">CFX is composed </w:t>
      </w:r>
      <w:r w:rsidR="005F12DC" w:rsidRPr="00587998">
        <w:rPr>
          <w:rFonts w:asciiTheme="majorHAnsi" w:hAnsiTheme="majorHAnsi"/>
          <w:noProof/>
        </w:rPr>
        <w:t>of</w:t>
      </w:r>
      <w:r w:rsidR="007A0149" w:rsidRPr="00587998">
        <w:rPr>
          <w:rFonts w:asciiTheme="majorHAnsi" w:hAnsiTheme="majorHAnsi"/>
        </w:rPr>
        <w:t xml:space="preserve"> 4 people who</w:t>
      </w:r>
      <w:r w:rsidRPr="00587998">
        <w:rPr>
          <w:rFonts w:asciiTheme="majorHAnsi" w:hAnsiTheme="majorHAnsi"/>
        </w:rPr>
        <w:t xml:space="preserve"> will cover the major aspects of company creation and development,</w:t>
      </w:r>
      <w:r w:rsidR="007A0149" w:rsidRPr="00587998">
        <w:rPr>
          <w:rFonts w:asciiTheme="majorHAnsi" w:hAnsiTheme="majorHAnsi"/>
        </w:rPr>
        <w:t xml:space="preserve"> and</w:t>
      </w:r>
      <w:r w:rsidRPr="00587998">
        <w:rPr>
          <w:rFonts w:asciiTheme="majorHAnsi" w:hAnsiTheme="majorHAnsi"/>
        </w:rPr>
        <w:t xml:space="preserve"> then be supported by vice presidents and staff.</w:t>
      </w:r>
    </w:p>
    <w:p w:rsidR="0016590F" w:rsidRPr="00046E2B" w:rsidRDefault="001B78B5" w:rsidP="00460C2C">
      <w:pPr>
        <w:pStyle w:val="Corpotesto"/>
        <w:spacing w:after="280"/>
        <w:rPr>
          <w:rFonts w:asciiTheme="majorHAnsi" w:hAnsiTheme="majorHAnsi"/>
        </w:rPr>
      </w:pPr>
      <w:r w:rsidRPr="00046E2B">
        <w:rPr>
          <w:rFonts w:asciiTheme="majorHAnsi" w:hAnsiTheme="majorHAnsi"/>
        </w:rPr>
        <w:t xml:space="preserve">CEO: </w:t>
      </w:r>
      <w:r w:rsidRPr="00046E2B">
        <w:rPr>
          <w:rFonts w:asciiTheme="majorHAnsi" w:hAnsiTheme="majorHAnsi"/>
          <w:bCs/>
        </w:rPr>
        <w:t xml:space="preserve">Marco </w:t>
      </w:r>
      <w:r w:rsidRPr="00046E2B">
        <w:rPr>
          <w:rFonts w:asciiTheme="majorHAnsi" w:hAnsiTheme="majorHAnsi"/>
          <w:bCs/>
          <w:noProof/>
        </w:rPr>
        <w:t>Mottana</w:t>
      </w:r>
    </w:p>
    <w:p w:rsidR="0016590F" w:rsidRPr="00046E2B" w:rsidRDefault="001B78B5" w:rsidP="00460C2C">
      <w:pPr>
        <w:pStyle w:val="Corpotesto"/>
        <w:spacing w:after="280"/>
        <w:rPr>
          <w:rFonts w:asciiTheme="majorHAnsi" w:hAnsiTheme="majorHAnsi"/>
        </w:rPr>
      </w:pPr>
      <w:r w:rsidRPr="00046E2B">
        <w:rPr>
          <w:rFonts w:asciiTheme="majorHAnsi" w:hAnsiTheme="majorHAnsi"/>
          <w:b/>
        </w:rPr>
        <w:t>COO:</w:t>
      </w:r>
      <w:r w:rsidRPr="00046E2B">
        <w:rPr>
          <w:rFonts w:asciiTheme="majorHAnsi" w:hAnsiTheme="majorHAnsi"/>
        </w:rPr>
        <w:t xml:space="preserve"> </w:t>
      </w:r>
      <w:r w:rsidRPr="00046E2B">
        <w:rPr>
          <w:rFonts w:asciiTheme="majorHAnsi" w:hAnsiTheme="majorHAnsi"/>
          <w:bCs/>
        </w:rPr>
        <w:t>Fabrizio Crimi</w:t>
      </w:r>
    </w:p>
    <w:p w:rsidR="0016590F" w:rsidRPr="00587998" w:rsidRDefault="001B78B5" w:rsidP="00460C2C">
      <w:pPr>
        <w:pStyle w:val="Corpotesto"/>
        <w:spacing w:after="280"/>
        <w:rPr>
          <w:rFonts w:asciiTheme="majorHAnsi" w:hAnsiTheme="majorHAnsi"/>
        </w:rPr>
      </w:pPr>
      <w:r w:rsidRPr="00046E2B">
        <w:rPr>
          <w:rFonts w:asciiTheme="majorHAnsi" w:hAnsiTheme="majorHAnsi"/>
        </w:rPr>
        <w:t xml:space="preserve">CTO: </w:t>
      </w:r>
      <w:r w:rsidRPr="00046E2B">
        <w:rPr>
          <w:rFonts w:asciiTheme="majorHAnsi" w:hAnsiTheme="majorHAnsi"/>
          <w:bCs/>
        </w:rPr>
        <w:t>Already chosen and working</w:t>
      </w:r>
      <w:r w:rsidRPr="00046E2B">
        <w:rPr>
          <w:rFonts w:asciiTheme="majorHAnsi" w:hAnsiTheme="majorHAnsi"/>
          <w:color w:val="FF0066"/>
        </w:rPr>
        <w:t>.</w:t>
      </w:r>
      <w:r w:rsidR="000B38A7" w:rsidRPr="00587998">
        <w:rPr>
          <w:rFonts w:asciiTheme="majorHAnsi" w:hAnsiTheme="majorHAnsi"/>
          <w:color w:val="FF0066"/>
        </w:rPr>
        <w:t xml:space="preserve"> </w:t>
      </w:r>
      <w:r w:rsidR="000B38A7" w:rsidRPr="00046E2B">
        <w:rPr>
          <w:rFonts w:asciiTheme="majorHAnsi" w:hAnsiTheme="majorHAnsi"/>
          <w:color w:val="FF0000"/>
        </w:rPr>
        <w:t>Identify him</w:t>
      </w:r>
    </w:p>
    <w:p w:rsidR="0016590F" w:rsidRPr="00587998" w:rsidRDefault="001B78B5" w:rsidP="00460C2C">
      <w:pPr>
        <w:pStyle w:val="Corpotesto"/>
        <w:spacing w:after="280"/>
        <w:rPr>
          <w:rFonts w:asciiTheme="majorHAnsi" w:hAnsiTheme="majorHAnsi"/>
        </w:rPr>
      </w:pPr>
      <w:r w:rsidRPr="00046E2B">
        <w:rPr>
          <w:rFonts w:asciiTheme="majorHAnsi" w:hAnsiTheme="majorHAnsi"/>
          <w:b/>
        </w:rPr>
        <w:t>CFO:</w:t>
      </w:r>
      <w:r w:rsidRPr="00587998">
        <w:rPr>
          <w:rFonts w:asciiTheme="majorHAnsi" w:hAnsiTheme="majorHAnsi"/>
        </w:rPr>
        <w:t xml:space="preserve"> TBD</w:t>
      </w:r>
    </w:p>
    <w:p w:rsidR="0016590F" w:rsidRPr="00587998" w:rsidRDefault="001B78B5" w:rsidP="00460C2C">
      <w:pPr>
        <w:pStyle w:val="Corpotesto"/>
        <w:spacing w:after="280"/>
        <w:rPr>
          <w:rFonts w:asciiTheme="majorHAnsi" w:hAnsiTheme="majorHAnsi"/>
        </w:rPr>
      </w:pPr>
      <w:r w:rsidRPr="00046E2B">
        <w:rPr>
          <w:rFonts w:asciiTheme="majorHAnsi" w:hAnsiTheme="majorHAnsi"/>
          <w:b/>
        </w:rPr>
        <w:t>CMM (Chief Money Manager):</w:t>
      </w:r>
      <w:r w:rsidRPr="00587998">
        <w:rPr>
          <w:rFonts w:asciiTheme="majorHAnsi" w:hAnsiTheme="majorHAnsi"/>
        </w:rPr>
        <w:t xml:space="preserve"> </w:t>
      </w:r>
      <w:r w:rsidRPr="00587998">
        <w:rPr>
          <w:rFonts w:asciiTheme="majorHAnsi" w:hAnsiTheme="majorHAnsi"/>
          <w:b/>
          <w:bCs/>
        </w:rPr>
        <w:t>Giovanni Lombardo</w:t>
      </w:r>
    </w:p>
    <w:p w:rsidR="0016590F" w:rsidRPr="00587998" w:rsidRDefault="001B78B5" w:rsidP="00460C2C">
      <w:pPr>
        <w:pStyle w:val="Corpotesto"/>
        <w:spacing w:after="280"/>
        <w:rPr>
          <w:rFonts w:asciiTheme="majorHAnsi" w:hAnsiTheme="majorHAnsi"/>
        </w:rPr>
      </w:pPr>
      <w:r w:rsidRPr="00046E2B">
        <w:rPr>
          <w:rFonts w:asciiTheme="majorHAnsi" w:hAnsiTheme="majorHAnsi"/>
          <w:b/>
        </w:rPr>
        <w:t>CRI:</w:t>
      </w:r>
      <w:r w:rsidRPr="00587998">
        <w:rPr>
          <w:rFonts w:asciiTheme="majorHAnsi" w:hAnsiTheme="majorHAnsi"/>
        </w:rPr>
        <w:t xml:space="preserve"> (Chief</w:t>
      </w:r>
      <w:r w:rsidR="00046E2B" w:rsidRPr="00A837D9">
        <w:rPr>
          <w:rFonts w:asciiTheme="majorHAnsi" w:hAnsiTheme="majorHAnsi"/>
          <w:noProof/>
        </w:rPr>
        <w:t>,</w:t>
      </w:r>
      <w:r w:rsidR="00A837D9">
        <w:rPr>
          <w:rFonts w:asciiTheme="majorHAnsi" w:hAnsiTheme="majorHAnsi"/>
          <w:noProof/>
        </w:rPr>
        <w:t xml:space="preserve"> </w:t>
      </w:r>
      <w:r w:rsidRPr="00A837D9">
        <w:rPr>
          <w:rFonts w:asciiTheme="majorHAnsi" w:hAnsiTheme="majorHAnsi"/>
          <w:noProof/>
        </w:rPr>
        <w:t>Relations</w:t>
      </w:r>
      <w:r w:rsidRPr="00587998">
        <w:rPr>
          <w:rFonts w:asciiTheme="majorHAnsi" w:hAnsiTheme="majorHAnsi"/>
        </w:rPr>
        <w:t xml:space="preserve"> Institutional Customers): </w:t>
      </w:r>
      <w:r w:rsidRPr="00587998">
        <w:rPr>
          <w:rFonts w:asciiTheme="majorHAnsi" w:hAnsiTheme="majorHAnsi"/>
          <w:b/>
          <w:bCs/>
        </w:rPr>
        <w:t>Vladimir Muidza</w:t>
      </w:r>
      <w:r w:rsidRPr="00587998">
        <w:rPr>
          <w:rFonts w:asciiTheme="majorHAnsi" w:hAnsiTheme="majorHAnsi"/>
        </w:rPr>
        <w:t>- MT</w:t>
      </w:r>
    </w:p>
    <w:p w:rsidR="0016590F" w:rsidRPr="00587998" w:rsidRDefault="001B78B5" w:rsidP="00460C2C">
      <w:pPr>
        <w:pStyle w:val="Corpotesto"/>
        <w:spacing w:after="280"/>
        <w:rPr>
          <w:rFonts w:asciiTheme="majorHAnsi" w:hAnsiTheme="majorHAnsi"/>
        </w:rPr>
      </w:pPr>
      <w:r w:rsidRPr="00046E2B">
        <w:rPr>
          <w:rFonts w:asciiTheme="majorHAnsi" w:hAnsiTheme="majorHAnsi"/>
          <w:b/>
        </w:rPr>
        <w:t>G</w:t>
      </w:r>
      <w:r w:rsidR="00AF3202" w:rsidRPr="00046E2B">
        <w:rPr>
          <w:rFonts w:asciiTheme="majorHAnsi" w:hAnsiTheme="majorHAnsi"/>
          <w:b/>
        </w:rPr>
        <w:t xml:space="preserve">uarantee </w:t>
      </w:r>
      <w:r w:rsidRPr="00046E2B">
        <w:rPr>
          <w:rFonts w:asciiTheme="majorHAnsi" w:hAnsiTheme="majorHAnsi"/>
          <w:b/>
        </w:rPr>
        <w:t>C</w:t>
      </w:r>
      <w:r w:rsidR="00AF3202" w:rsidRPr="00046E2B">
        <w:rPr>
          <w:rFonts w:asciiTheme="majorHAnsi" w:hAnsiTheme="majorHAnsi"/>
          <w:b/>
        </w:rPr>
        <w:t>ommittee:</w:t>
      </w:r>
      <w:r w:rsidR="00AF3202" w:rsidRPr="00587998">
        <w:rPr>
          <w:rFonts w:asciiTheme="majorHAnsi" w:hAnsiTheme="majorHAnsi"/>
        </w:rPr>
        <w:t xml:space="preserve"> TBD</w:t>
      </w:r>
    </w:p>
    <w:p w:rsidR="0016590F" w:rsidRPr="00587998" w:rsidRDefault="001B78B5" w:rsidP="00460C2C">
      <w:pPr>
        <w:pStyle w:val="Corpotesto"/>
        <w:spacing w:after="280"/>
        <w:rPr>
          <w:rFonts w:asciiTheme="majorHAnsi" w:hAnsiTheme="majorHAnsi"/>
        </w:rPr>
      </w:pPr>
      <w:r w:rsidRPr="00587998">
        <w:rPr>
          <w:rFonts w:asciiTheme="majorHAnsi" w:hAnsiTheme="majorHAnsi"/>
        </w:rPr>
        <w:t xml:space="preserve">A group of key persons in Malta and </w:t>
      </w:r>
      <w:r w:rsidRPr="00A837D9">
        <w:rPr>
          <w:rFonts w:asciiTheme="majorHAnsi" w:hAnsiTheme="majorHAnsi"/>
          <w:noProof/>
        </w:rPr>
        <w:t>worldwide</w:t>
      </w:r>
      <w:r w:rsidR="00A837D9">
        <w:rPr>
          <w:rFonts w:asciiTheme="majorHAnsi" w:hAnsiTheme="majorHAnsi"/>
          <w:noProof/>
        </w:rPr>
        <w:t xml:space="preserve"> </w:t>
      </w:r>
      <w:r w:rsidRPr="00A837D9">
        <w:rPr>
          <w:rFonts w:asciiTheme="majorHAnsi" w:hAnsiTheme="majorHAnsi"/>
          <w:noProof/>
        </w:rPr>
        <w:t>will</w:t>
      </w:r>
      <w:r w:rsidRPr="00587998">
        <w:rPr>
          <w:rFonts w:asciiTheme="majorHAnsi" w:hAnsiTheme="majorHAnsi"/>
        </w:rPr>
        <w:t xml:space="preserve"> suggest the board </w:t>
      </w:r>
      <w:r w:rsidR="007A0149" w:rsidRPr="00587998">
        <w:rPr>
          <w:rFonts w:asciiTheme="majorHAnsi" w:hAnsiTheme="majorHAnsi"/>
        </w:rPr>
        <w:t xml:space="preserve">as per </w:t>
      </w:r>
      <w:r w:rsidRPr="00587998">
        <w:rPr>
          <w:rFonts w:asciiTheme="majorHAnsi" w:hAnsiTheme="majorHAnsi"/>
        </w:rPr>
        <w:t>best practice</w:t>
      </w:r>
      <w:r w:rsidR="007A0149" w:rsidRPr="00587998">
        <w:rPr>
          <w:rFonts w:asciiTheme="majorHAnsi" w:hAnsiTheme="majorHAnsi"/>
        </w:rPr>
        <w:t xml:space="preserve">s </w:t>
      </w:r>
      <w:r w:rsidRPr="00587998">
        <w:rPr>
          <w:rFonts w:asciiTheme="majorHAnsi" w:hAnsiTheme="majorHAnsi"/>
        </w:rPr>
        <w:t>and monitor the results.</w:t>
      </w:r>
    </w:p>
    <w:p w:rsidR="00587998" w:rsidRDefault="00587998" w:rsidP="00460C2C">
      <w:pPr>
        <w:rPr>
          <w:rFonts w:asciiTheme="majorHAnsi" w:eastAsia="Palatino Linotype" w:hAnsiTheme="majorHAnsi" w:cs="Palatino Linotype"/>
          <w:b/>
          <w:bCs/>
          <w:color w:val="000000"/>
        </w:rPr>
      </w:pPr>
      <w:r>
        <w:rPr>
          <w:rFonts w:asciiTheme="majorHAnsi" w:hAnsiTheme="majorHAnsi"/>
          <w:b/>
          <w:bCs/>
        </w:rPr>
        <w:br w:type="page"/>
      </w:r>
    </w:p>
    <w:p w:rsidR="0016590F" w:rsidRPr="00587998" w:rsidRDefault="001B78B5" w:rsidP="00460C2C">
      <w:pPr>
        <w:pStyle w:val="Corpotesto"/>
        <w:spacing w:after="280"/>
        <w:rPr>
          <w:rFonts w:asciiTheme="majorHAnsi" w:hAnsiTheme="majorHAnsi"/>
        </w:rPr>
      </w:pPr>
      <w:r w:rsidRPr="00587998">
        <w:rPr>
          <w:rFonts w:asciiTheme="majorHAnsi" w:hAnsiTheme="majorHAnsi"/>
          <w:b/>
          <w:bCs/>
        </w:rPr>
        <w:lastRenderedPageBreak/>
        <w:t>E</w:t>
      </w:r>
      <w:r w:rsidR="00AF3202" w:rsidRPr="00587998">
        <w:rPr>
          <w:rFonts w:asciiTheme="majorHAnsi" w:hAnsiTheme="majorHAnsi"/>
          <w:b/>
          <w:bCs/>
        </w:rPr>
        <w:t xml:space="preserve">xternal </w:t>
      </w:r>
      <w:r w:rsidRPr="00587998">
        <w:rPr>
          <w:rFonts w:asciiTheme="majorHAnsi" w:hAnsiTheme="majorHAnsi"/>
          <w:b/>
          <w:bCs/>
        </w:rPr>
        <w:t>K</w:t>
      </w:r>
      <w:r w:rsidR="00AF3202" w:rsidRPr="00587998">
        <w:rPr>
          <w:rFonts w:asciiTheme="majorHAnsi" w:hAnsiTheme="majorHAnsi"/>
          <w:b/>
          <w:bCs/>
        </w:rPr>
        <w:t>ey</w:t>
      </w:r>
      <w:r w:rsidRPr="00587998">
        <w:rPr>
          <w:rFonts w:asciiTheme="majorHAnsi" w:hAnsiTheme="majorHAnsi"/>
          <w:b/>
          <w:bCs/>
        </w:rPr>
        <w:t xml:space="preserve"> C</w:t>
      </w:r>
      <w:r w:rsidR="00AF3202" w:rsidRPr="00587998">
        <w:rPr>
          <w:rFonts w:asciiTheme="majorHAnsi" w:hAnsiTheme="majorHAnsi"/>
          <w:b/>
          <w:bCs/>
        </w:rPr>
        <w:t>onsultants</w:t>
      </w:r>
    </w:p>
    <w:p w:rsidR="0016590F" w:rsidRPr="00046E2B" w:rsidRDefault="001B78B5" w:rsidP="00460C2C">
      <w:pPr>
        <w:pStyle w:val="Corpotesto"/>
        <w:spacing w:after="280"/>
        <w:rPr>
          <w:rFonts w:asciiTheme="majorHAnsi" w:hAnsiTheme="majorHAnsi"/>
        </w:rPr>
      </w:pPr>
      <w:r w:rsidRPr="00046E2B">
        <w:rPr>
          <w:rFonts w:asciiTheme="majorHAnsi" w:hAnsiTheme="majorHAnsi"/>
          <w:b/>
        </w:rPr>
        <w:t>Strategic Advisor:</w:t>
      </w:r>
      <w:r w:rsidRPr="00046E2B">
        <w:rPr>
          <w:rFonts w:asciiTheme="majorHAnsi" w:hAnsiTheme="majorHAnsi"/>
        </w:rPr>
        <w:t xml:space="preserve"> </w:t>
      </w:r>
      <w:r w:rsidRPr="00046E2B">
        <w:rPr>
          <w:rFonts w:asciiTheme="majorHAnsi" w:hAnsiTheme="majorHAnsi"/>
          <w:bCs/>
        </w:rPr>
        <w:t xml:space="preserve">Virgilio Degiovanni </w:t>
      </w:r>
    </w:p>
    <w:p w:rsidR="0016590F" w:rsidRPr="00046E2B" w:rsidRDefault="001B78B5" w:rsidP="00460C2C">
      <w:pPr>
        <w:pStyle w:val="Corpotesto"/>
        <w:spacing w:after="280"/>
        <w:rPr>
          <w:rFonts w:asciiTheme="majorHAnsi" w:hAnsiTheme="majorHAnsi"/>
        </w:rPr>
      </w:pPr>
      <w:r w:rsidRPr="00046E2B">
        <w:rPr>
          <w:rFonts w:asciiTheme="majorHAnsi" w:hAnsiTheme="majorHAnsi"/>
          <w:b/>
        </w:rPr>
        <w:t xml:space="preserve">ICO </w:t>
      </w:r>
      <w:r w:rsidRPr="007208E6">
        <w:rPr>
          <w:rFonts w:asciiTheme="majorHAnsi" w:hAnsiTheme="majorHAnsi"/>
          <w:b/>
          <w:noProof/>
        </w:rPr>
        <w:t>MALTA</w:t>
      </w:r>
      <w:r w:rsidRPr="00046E2B">
        <w:rPr>
          <w:rFonts w:asciiTheme="majorHAnsi" w:hAnsiTheme="majorHAnsi"/>
          <w:b/>
        </w:rPr>
        <w:t>:</w:t>
      </w:r>
      <w:r w:rsidRPr="00046E2B">
        <w:rPr>
          <w:rFonts w:asciiTheme="majorHAnsi" w:hAnsiTheme="majorHAnsi"/>
        </w:rPr>
        <w:t xml:space="preserve"> Blockchain and Token - </w:t>
      </w:r>
      <w:r w:rsidRPr="00046E2B">
        <w:rPr>
          <w:rFonts w:asciiTheme="majorHAnsi" w:hAnsiTheme="majorHAnsi"/>
          <w:bCs/>
        </w:rPr>
        <w:t>Jan Sammut</w:t>
      </w:r>
    </w:p>
    <w:p w:rsidR="0016590F" w:rsidRPr="00046E2B" w:rsidRDefault="001B78B5" w:rsidP="00460C2C">
      <w:pPr>
        <w:pStyle w:val="Corpotesto"/>
        <w:spacing w:after="280"/>
        <w:rPr>
          <w:rFonts w:asciiTheme="majorHAnsi" w:hAnsiTheme="majorHAnsi"/>
          <w:color w:val="FF0000"/>
        </w:rPr>
      </w:pPr>
      <w:r w:rsidRPr="00046E2B">
        <w:rPr>
          <w:rFonts w:asciiTheme="majorHAnsi" w:hAnsiTheme="majorHAnsi"/>
          <w:b/>
        </w:rPr>
        <w:t>AMD Consultant:</w:t>
      </w:r>
      <w:r w:rsidRPr="00046E2B">
        <w:rPr>
          <w:rFonts w:asciiTheme="majorHAnsi" w:hAnsiTheme="majorHAnsi"/>
        </w:rPr>
        <w:t xml:space="preserve"> </w:t>
      </w:r>
      <w:r w:rsidRPr="00046E2B">
        <w:rPr>
          <w:rFonts w:asciiTheme="majorHAnsi" w:hAnsiTheme="majorHAnsi"/>
          <w:color w:val="FF0000"/>
        </w:rPr>
        <w:t>TBD</w:t>
      </w:r>
    </w:p>
    <w:p w:rsidR="004B110F" w:rsidRPr="003C15AA" w:rsidRDefault="001B78B5" w:rsidP="00460C2C">
      <w:pPr>
        <w:pStyle w:val="Titolo2"/>
        <w:rPr>
          <w:rFonts w:ascii="Franklin Gothic Demi" w:eastAsia="Times New Roman" w:hAnsi="Franklin Gothic Demi" w:cs="Times New Roman"/>
          <w:b w:val="0"/>
          <w:bCs w:val="0"/>
          <w:iCs w:val="0"/>
          <w:color w:val="018BB3"/>
          <w:spacing w:val="26"/>
          <w:szCs w:val="36"/>
        </w:rPr>
      </w:pPr>
      <w:bookmarkStart w:id="76" w:name="_Toc523440003"/>
      <w:r w:rsidRPr="003C15AA">
        <w:rPr>
          <w:rFonts w:ascii="Franklin Gothic Demi" w:eastAsia="Times New Roman" w:hAnsi="Franklin Gothic Demi" w:cs="Times New Roman"/>
          <w:b w:val="0"/>
          <w:bCs w:val="0"/>
          <w:iCs w:val="0"/>
          <w:color w:val="018BB3"/>
          <w:spacing w:val="26"/>
          <w:szCs w:val="36"/>
        </w:rPr>
        <w:t>Advisors</w:t>
      </w:r>
      <w:bookmarkEnd w:id="76"/>
    </w:p>
    <w:p w:rsidR="004B110F" w:rsidRPr="00587998" w:rsidRDefault="00513AF4" w:rsidP="00460C2C">
      <w:pPr>
        <w:pStyle w:val="Corpotesto"/>
        <w:spacing w:after="280"/>
        <w:rPr>
          <w:rFonts w:asciiTheme="majorHAnsi" w:hAnsiTheme="majorHAnsi"/>
        </w:rPr>
      </w:pPr>
      <w:r w:rsidRPr="00587998">
        <w:rPr>
          <w:rFonts w:asciiTheme="majorHAnsi" w:hAnsiTheme="majorHAnsi"/>
          <w:b/>
          <w:bCs/>
        </w:rPr>
        <w:t>Financial &amp; Auditor</w:t>
      </w:r>
      <w:r w:rsidR="001B78B5" w:rsidRPr="00587998">
        <w:rPr>
          <w:rFonts w:asciiTheme="majorHAnsi" w:hAnsiTheme="majorHAnsi"/>
          <w:b/>
          <w:bCs/>
        </w:rPr>
        <w:t> Advisors</w:t>
      </w:r>
    </w:p>
    <w:p w:rsidR="00DC71EE" w:rsidRPr="00046E2B" w:rsidRDefault="00513AF4" w:rsidP="00460C2C">
      <w:pPr>
        <w:pStyle w:val="Corpotesto"/>
        <w:spacing w:after="280"/>
        <w:rPr>
          <w:rFonts w:asciiTheme="majorHAnsi" w:hAnsiTheme="majorHAnsi"/>
        </w:rPr>
      </w:pPr>
      <w:r w:rsidRPr="00587998">
        <w:rPr>
          <w:rFonts w:asciiTheme="majorHAnsi" w:hAnsiTheme="majorHAnsi"/>
        </w:rPr>
        <w:t>T</w:t>
      </w:r>
      <w:r w:rsidR="001B78B5" w:rsidRPr="00587998">
        <w:rPr>
          <w:rFonts w:asciiTheme="majorHAnsi" w:hAnsiTheme="majorHAnsi"/>
        </w:rPr>
        <w:t xml:space="preserve">he </w:t>
      </w:r>
      <w:r w:rsidR="001B78B5" w:rsidRPr="00A837D9">
        <w:rPr>
          <w:rFonts w:asciiTheme="majorHAnsi" w:hAnsiTheme="majorHAnsi"/>
          <w:noProof/>
        </w:rPr>
        <w:t>internal</w:t>
      </w:r>
      <w:r w:rsidR="00A837D9">
        <w:rPr>
          <w:rFonts w:asciiTheme="majorHAnsi" w:hAnsiTheme="majorHAnsi"/>
          <w:noProof/>
        </w:rPr>
        <w:t xml:space="preserve"> funds</w:t>
      </w:r>
      <w:r w:rsidR="001B78B5" w:rsidRPr="00587998">
        <w:rPr>
          <w:rFonts w:asciiTheme="majorHAnsi" w:hAnsiTheme="majorHAnsi"/>
        </w:rPr>
        <w:t xml:space="preserve"> will be certified by a major company in the most transparent way</w:t>
      </w:r>
      <w:r w:rsidRPr="00587998">
        <w:rPr>
          <w:rFonts w:asciiTheme="majorHAnsi" w:hAnsiTheme="majorHAnsi"/>
        </w:rPr>
        <w:t xml:space="preserve"> possible. T</w:t>
      </w:r>
      <w:r w:rsidR="001B78B5" w:rsidRPr="00587998">
        <w:rPr>
          <w:rFonts w:asciiTheme="majorHAnsi" w:hAnsiTheme="majorHAnsi"/>
        </w:rPr>
        <w:t xml:space="preserve">he listed </w:t>
      </w:r>
      <w:r w:rsidR="001B78B5" w:rsidRPr="00A837D9">
        <w:rPr>
          <w:rFonts w:asciiTheme="majorHAnsi" w:hAnsiTheme="majorHAnsi"/>
          <w:noProof/>
        </w:rPr>
        <w:t>FUNDS</w:t>
      </w:r>
      <w:r w:rsidR="001B78B5" w:rsidRPr="00587998">
        <w:rPr>
          <w:rFonts w:asciiTheme="majorHAnsi" w:hAnsiTheme="majorHAnsi"/>
        </w:rPr>
        <w:t xml:space="preserve"> NAV will be </w:t>
      </w:r>
      <w:r w:rsidR="001B78B5" w:rsidRPr="00A837D9">
        <w:rPr>
          <w:rFonts w:asciiTheme="majorHAnsi" w:hAnsiTheme="majorHAnsi"/>
          <w:noProof/>
        </w:rPr>
        <w:t>officially</w:t>
      </w:r>
      <w:r w:rsidR="00A837D9">
        <w:rPr>
          <w:rFonts w:asciiTheme="majorHAnsi" w:hAnsiTheme="majorHAnsi"/>
          <w:noProof/>
        </w:rPr>
        <w:t xml:space="preserve"> </w:t>
      </w:r>
      <w:r w:rsidR="001B78B5" w:rsidRPr="00A837D9">
        <w:rPr>
          <w:rFonts w:asciiTheme="majorHAnsi" w:hAnsiTheme="majorHAnsi"/>
          <w:noProof/>
        </w:rPr>
        <w:t>certified</w:t>
      </w:r>
      <w:r w:rsidR="001B78B5" w:rsidRPr="00587998">
        <w:rPr>
          <w:rFonts w:asciiTheme="majorHAnsi" w:hAnsiTheme="majorHAnsi"/>
        </w:rPr>
        <w:t>, guarantying i</w:t>
      </w:r>
      <w:r w:rsidRPr="00587998">
        <w:rPr>
          <w:rFonts w:asciiTheme="majorHAnsi" w:hAnsiTheme="majorHAnsi"/>
        </w:rPr>
        <w:t>nvestors high performance</w:t>
      </w:r>
      <w:r w:rsidR="001B78B5" w:rsidRPr="00587998">
        <w:rPr>
          <w:rFonts w:asciiTheme="majorHAnsi" w:hAnsiTheme="majorHAnsi"/>
        </w:rPr>
        <w:t>.</w:t>
      </w:r>
      <w:bookmarkStart w:id="77" w:name="_Toc256000071"/>
      <w:bookmarkStart w:id="78" w:name="_Toc256000052"/>
      <w:bookmarkStart w:id="79" w:name="_Toc256000033"/>
      <w:bookmarkStart w:id="80" w:name="_Toc256000014"/>
    </w:p>
    <w:tbl>
      <w:tblPr>
        <w:tblStyle w:val="Grigliatabella"/>
        <w:tblW w:w="0" w:type="auto"/>
        <w:tblBorders>
          <w:top w:val="none" w:sz="0" w:space="0" w:color="auto"/>
          <w:left w:val="none" w:sz="0" w:space="0" w:color="auto"/>
          <w:bottom w:val="single" w:sz="12" w:space="0" w:color="018BB3"/>
          <w:right w:val="none" w:sz="0" w:space="0" w:color="auto"/>
          <w:insideH w:val="single" w:sz="12" w:space="0" w:color="018BB3"/>
          <w:insideV w:val="single" w:sz="12" w:space="0" w:color="018BB3"/>
        </w:tblBorders>
        <w:tblCellMar>
          <w:top w:w="288" w:type="dxa"/>
          <w:left w:w="115" w:type="dxa"/>
          <w:bottom w:w="288" w:type="dxa"/>
          <w:right w:w="115" w:type="dxa"/>
        </w:tblCellMar>
        <w:tblLook w:val="04A0" w:firstRow="1" w:lastRow="0" w:firstColumn="1" w:lastColumn="0" w:noHBand="0" w:noVBand="1"/>
      </w:tblPr>
      <w:tblGrid>
        <w:gridCol w:w="9576"/>
      </w:tblGrid>
      <w:tr w:rsidR="00DC71EE" w:rsidTr="00A567F9">
        <w:tc>
          <w:tcPr>
            <w:tcW w:w="9576" w:type="dxa"/>
          </w:tcPr>
          <w:p w:rsidR="00DC71EE" w:rsidRDefault="00DC71EE" w:rsidP="00460C2C">
            <w:pPr>
              <w:pStyle w:val="Titolo1"/>
              <w:spacing w:after="280"/>
              <w:rPr>
                <w:rFonts w:ascii="Franklin Gothic Demi" w:eastAsia="Times New Roman" w:hAnsi="Franklin Gothic Demi" w:cs="Times New Roman"/>
                <w:b w:val="0"/>
                <w:bCs w:val="0"/>
                <w:color w:val="018BB3"/>
                <w:spacing w:val="26"/>
                <w:kern w:val="0"/>
                <w:szCs w:val="44"/>
              </w:rPr>
            </w:pPr>
            <w:bookmarkStart w:id="81" w:name="_Toc523440004"/>
            <w:r w:rsidRPr="00DC71EE">
              <w:rPr>
                <w:rFonts w:ascii="Franklin Gothic Demi" w:eastAsia="Times New Roman" w:hAnsi="Franklin Gothic Demi" w:cs="Times New Roman"/>
                <w:b w:val="0"/>
                <w:bCs w:val="0"/>
                <w:color w:val="018BB3"/>
                <w:spacing w:val="26"/>
                <w:kern w:val="0"/>
                <w:szCs w:val="44"/>
              </w:rPr>
              <w:t>Financial Plan</w:t>
            </w:r>
            <w:bookmarkEnd w:id="81"/>
          </w:p>
        </w:tc>
      </w:tr>
    </w:tbl>
    <w:p w:rsidR="004B110F" w:rsidRPr="00DC71EE" w:rsidRDefault="001B78B5" w:rsidP="00460C2C">
      <w:pPr>
        <w:pStyle w:val="Titolo2"/>
        <w:spacing w:after="280"/>
        <w:rPr>
          <w:rFonts w:ascii="Franklin Gothic Demi" w:eastAsia="Times New Roman" w:hAnsi="Franklin Gothic Demi" w:cs="Times New Roman"/>
          <w:b w:val="0"/>
          <w:bCs w:val="0"/>
          <w:iCs w:val="0"/>
          <w:noProof/>
          <w:color w:val="00B0F0"/>
          <w:spacing w:val="26"/>
          <w:szCs w:val="36"/>
          <w:lang w:val="en-US" w:eastAsia="en-US"/>
        </w:rPr>
      </w:pPr>
      <w:bookmarkStart w:id="82" w:name="_Toc256000072"/>
      <w:bookmarkStart w:id="83" w:name="_Toc256000053"/>
      <w:bookmarkStart w:id="84" w:name="_Toc256000034"/>
      <w:bookmarkStart w:id="85" w:name="_Toc256000015"/>
      <w:bookmarkStart w:id="86" w:name="_Toc523440005"/>
      <w:bookmarkEnd w:id="77"/>
      <w:bookmarkEnd w:id="78"/>
      <w:bookmarkEnd w:id="79"/>
      <w:bookmarkEnd w:id="80"/>
      <w:r w:rsidRPr="00DC71EE">
        <w:rPr>
          <w:rFonts w:ascii="Franklin Gothic Demi" w:eastAsia="Times New Roman" w:hAnsi="Franklin Gothic Demi" w:cs="Times New Roman"/>
          <w:b w:val="0"/>
          <w:bCs w:val="0"/>
          <w:iCs w:val="0"/>
          <w:noProof/>
          <w:color w:val="00B0F0"/>
          <w:spacing w:val="26"/>
          <w:szCs w:val="36"/>
          <w:lang w:val="en-US" w:eastAsia="en-US"/>
        </w:rPr>
        <w:t>Forecast</w:t>
      </w:r>
      <w:bookmarkEnd w:id="82"/>
      <w:bookmarkEnd w:id="83"/>
      <w:bookmarkEnd w:id="84"/>
      <w:bookmarkEnd w:id="85"/>
      <w:bookmarkEnd w:id="86"/>
    </w:p>
    <w:p w:rsidR="004B110F" w:rsidRPr="00DC71EE" w:rsidRDefault="00DC71EE" w:rsidP="00460C2C">
      <w:pPr>
        <w:pStyle w:val="Titolo3"/>
        <w:spacing w:after="280"/>
        <w:rPr>
          <w:rFonts w:asciiTheme="majorHAnsi" w:hAnsiTheme="majorHAnsi"/>
          <w:szCs w:val="28"/>
        </w:rPr>
      </w:pPr>
      <w:r w:rsidRPr="00DC71EE">
        <w:rPr>
          <w:rFonts w:asciiTheme="majorHAnsi" w:hAnsiTheme="majorHAnsi"/>
          <w:szCs w:val="28"/>
        </w:rPr>
        <w:t>KEY ASSUMPTIONS</w:t>
      </w:r>
    </w:p>
    <w:p w:rsidR="004B110F" w:rsidRPr="00DC71EE" w:rsidRDefault="00AF3202" w:rsidP="00460C2C">
      <w:pPr>
        <w:pStyle w:val="Corpotesto"/>
        <w:spacing w:after="280"/>
        <w:rPr>
          <w:rFonts w:asciiTheme="majorHAnsi" w:hAnsiTheme="majorHAnsi"/>
        </w:rPr>
      </w:pPr>
      <w:r w:rsidRPr="00DC71EE">
        <w:rPr>
          <w:rFonts w:asciiTheme="majorHAnsi" w:hAnsiTheme="majorHAnsi"/>
          <w:b/>
          <w:bCs/>
        </w:rPr>
        <w:t xml:space="preserve">CFX Three Main Streams of Income and the Disruption of the </w:t>
      </w:r>
      <w:r w:rsidR="001B78B5" w:rsidRPr="00DC71EE">
        <w:rPr>
          <w:rFonts w:asciiTheme="majorHAnsi" w:hAnsiTheme="majorHAnsi"/>
          <w:b/>
          <w:bCs/>
        </w:rPr>
        <w:t>S</w:t>
      </w:r>
      <w:r w:rsidRPr="00DC71EE">
        <w:rPr>
          <w:rFonts w:asciiTheme="majorHAnsi" w:hAnsiTheme="majorHAnsi"/>
          <w:b/>
          <w:bCs/>
        </w:rPr>
        <w:t xml:space="preserve">entiment </w:t>
      </w:r>
      <w:r w:rsidR="001B78B5" w:rsidRPr="00DC71EE">
        <w:rPr>
          <w:rFonts w:asciiTheme="majorHAnsi" w:hAnsiTheme="majorHAnsi"/>
          <w:b/>
          <w:bCs/>
        </w:rPr>
        <w:t>I</w:t>
      </w:r>
      <w:r w:rsidRPr="00DC71EE">
        <w:rPr>
          <w:rFonts w:asciiTheme="majorHAnsi" w:hAnsiTheme="majorHAnsi"/>
          <w:b/>
          <w:bCs/>
        </w:rPr>
        <w:t>ndex</w:t>
      </w:r>
    </w:p>
    <w:p w:rsidR="0016590F" w:rsidRPr="00A3452E" w:rsidRDefault="001B78B5" w:rsidP="00460C2C">
      <w:pPr>
        <w:pStyle w:val="Corpotesto"/>
        <w:spacing w:after="280"/>
        <w:rPr>
          <w:rFonts w:asciiTheme="majorHAnsi" w:hAnsiTheme="majorHAnsi"/>
        </w:rPr>
      </w:pPr>
      <w:r w:rsidRPr="00A3452E">
        <w:rPr>
          <w:rFonts w:asciiTheme="majorHAnsi" w:hAnsiTheme="majorHAnsi"/>
          <w:bCs/>
        </w:rPr>
        <w:t>1) Performance of the internal fund.</w:t>
      </w:r>
    </w:p>
    <w:p w:rsidR="0016590F" w:rsidRPr="00DC71EE" w:rsidRDefault="001B78B5" w:rsidP="00460C2C">
      <w:pPr>
        <w:pStyle w:val="Corpotesto"/>
        <w:spacing w:after="280"/>
        <w:rPr>
          <w:rFonts w:asciiTheme="majorHAnsi" w:hAnsiTheme="majorHAnsi"/>
        </w:rPr>
      </w:pPr>
      <w:r w:rsidRPr="00DC71EE">
        <w:rPr>
          <w:rFonts w:asciiTheme="majorHAnsi" w:hAnsiTheme="majorHAnsi"/>
        </w:rPr>
        <w:t xml:space="preserve">The internal fund has a minimum target return of 28% per annum. While this may be considered high, </w:t>
      </w:r>
      <w:r w:rsidRPr="00DC71EE">
        <w:rPr>
          <w:rFonts w:asciiTheme="majorHAnsi" w:hAnsiTheme="majorHAnsi"/>
          <w:noProof/>
        </w:rPr>
        <w:t>it</w:t>
      </w:r>
      <w:r w:rsidR="005F12DC" w:rsidRPr="00DC71EE">
        <w:rPr>
          <w:rFonts w:asciiTheme="majorHAnsi" w:hAnsiTheme="majorHAnsi"/>
          <w:noProof/>
        </w:rPr>
        <w:t>’</w:t>
      </w:r>
      <w:r w:rsidRPr="00DC71EE">
        <w:rPr>
          <w:rFonts w:asciiTheme="majorHAnsi" w:hAnsiTheme="majorHAnsi"/>
          <w:noProof/>
        </w:rPr>
        <w:t>s</w:t>
      </w:r>
      <w:r w:rsidRPr="00DC71EE">
        <w:rPr>
          <w:rFonts w:asciiTheme="majorHAnsi" w:hAnsiTheme="majorHAnsi"/>
        </w:rPr>
        <w:t xml:space="preserve"> not even the half of what we expect given the technology and methods applied.</w:t>
      </w:r>
    </w:p>
    <w:p w:rsidR="0016590F" w:rsidRPr="00DC71EE" w:rsidRDefault="001B78B5" w:rsidP="00460C2C">
      <w:pPr>
        <w:pStyle w:val="Corpotesto"/>
        <w:spacing w:after="280"/>
        <w:rPr>
          <w:rFonts w:asciiTheme="majorHAnsi" w:hAnsiTheme="majorHAnsi"/>
        </w:rPr>
      </w:pPr>
      <w:r w:rsidRPr="00A3452E">
        <w:rPr>
          <w:rFonts w:asciiTheme="majorHAnsi" w:hAnsiTheme="majorHAnsi"/>
        </w:rPr>
        <w:t xml:space="preserve">2) </w:t>
      </w:r>
      <w:r w:rsidRPr="00A3452E">
        <w:rPr>
          <w:rFonts w:asciiTheme="majorHAnsi" w:hAnsiTheme="majorHAnsi"/>
          <w:bCs/>
        </w:rPr>
        <w:t xml:space="preserve">Turnover coming from renting the HATS system </w:t>
      </w:r>
      <w:r w:rsidRPr="00A3452E">
        <w:rPr>
          <w:rFonts w:asciiTheme="majorHAnsi" w:hAnsiTheme="majorHAnsi"/>
        </w:rPr>
        <w:t xml:space="preserve">to institutional customers are subdivided into </w:t>
      </w:r>
      <w:r w:rsidRPr="00DC71EE">
        <w:rPr>
          <w:rFonts w:asciiTheme="majorHAnsi" w:hAnsiTheme="majorHAnsi"/>
        </w:rPr>
        <w:t>two main streams: related to results of the HATS system and institutional marketing. We expect a result of 20% of the average result of 21% over the total asset managed by customers using HATS technology.  The increase of customer base for the external funds it the key factor of growth coming from precise indirect marketing calculations.</w:t>
      </w:r>
    </w:p>
    <w:p w:rsidR="0016590F" w:rsidRPr="00DC71EE" w:rsidRDefault="001B78B5" w:rsidP="00460C2C">
      <w:pPr>
        <w:pStyle w:val="Corpotesto"/>
        <w:spacing w:after="280"/>
        <w:rPr>
          <w:rFonts w:asciiTheme="majorHAnsi" w:hAnsiTheme="majorHAnsi"/>
        </w:rPr>
      </w:pPr>
      <w:r w:rsidRPr="00DC71EE">
        <w:rPr>
          <w:rFonts w:asciiTheme="majorHAnsi" w:hAnsiTheme="majorHAnsi"/>
        </w:rPr>
        <w:t>3) The fees coming from the sale of "Self trading" instruments for private and professionals traders/investors. These systems can only be bo</w:t>
      </w:r>
      <w:r w:rsidR="00513AF4" w:rsidRPr="00DC71EE">
        <w:rPr>
          <w:rFonts w:asciiTheme="majorHAnsi" w:hAnsiTheme="majorHAnsi"/>
        </w:rPr>
        <w:t>ught from token holders and paid</w:t>
      </w:r>
      <w:r w:rsidRPr="00DC71EE">
        <w:rPr>
          <w:rFonts w:asciiTheme="majorHAnsi" w:hAnsiTheme="majorHAnsi"/>
        </w:rPr>
        <w:t xml:space="preserve"> in CFX Tokens. The </w:t>
      </w:r>
      <w:r w:rsidRPr="00DC71EE">
        <w:rPr>
          <w:rFonts w:asciiTheme="majorHAnsi" w:hAnsiTheme="majorHAnsi"/>
        </w:rPr>
        <w:lastRenderedPageBreak/>
        <w:t>fees</w:t>
      </w:r>
      <w:r w:rsidR="00513AF4" w:rsidRPr="00DC71EE">
        <w:rPr>
          <w:rFonts w:asciiTheme="majorHAnsi" w:hAnsiTheme="majorHAnsi"/>
        </w:rPr>
        <w:t xml:space="preserve"> are very low per customer, </w:t>
      </w:r>
      <w:r w:rsidRPr="00DC71EE">
        <w:rPr>
          <w:rFonts w:asciiTheme="majorHAnsi" w:hAnsiTheme="majorHAnsi"/>
        </w:rPr>
        <w:t>growing gradually over the years</w:t>
      </w:r>
      <w:r w:rsidR="00513AF4" w:rsidRPr="00DC71EE">
        <w:rPr>
          <w:rFonts w:asciiTheme="majorHAnsi" w:hAnsiTheme="majorHAnsi"/>
        </w:rPr>
        <w:t>, creating value and loyalty</w:t>
      </w:r>
      <w:r w:rsidRPr="00DC71EE">
        <w:rPr>
          <w:rFonts w:asciiTheme="majorHAnsi" w:hAnsiTheme="majorHAnsi"/>
        </w:rPr>
        <w:t xml:space="preserve"> at affordable prices.</w:t>
      </w:r>
    </w:p>
    <w:p w:rsidR="0016590F" w:rsidRPr="00DC71EE" w:rsidRDefault="00513AF4" w:rsidP="00460C2C">
      <w:pPr>
        <w:pStyle w:val="Corpotesto"/>
        <w:spacing w:after="280"/>
        <w:rPr>
          <w:rFonts w:asciiTheme="majorHAnsi" w:hAnsiTheme="majorHAnsi"/>
        </w:rPr>
      </w:pPr>
      <w:r w:rsidRPr="00DC71EE">
        <w:rPr>
          <w:rFonts w:asciiTheme="majorHAnsi" w:hAnsiTheme="majorHAnsi"/>
        </w:rPr>
        <w:t>The growth of numbers </w:t>
      </w:r>
      <w:r w:rsidRPr="00A837D9">
        <w:rPr>
          <w:rFonts w:asciiTheme="majorHAnsi" w:hAnsiTheme="majorHAnsi"/>
          <w:noProof/>
        </w:rPr>
        <w:t>come</w:t>
      </w:r>
      <w:r w:rsidR="00A837D9">
        <w:rPr>
          <w:rFonts w:asciiTheme="majorHAnsi" w:hAnsiTheme="majorHAnsi"/>
          <w:noProof/>
        </w:rPr>
        <w:t xml:space="preserve"> </w:t>
      </w:r>
      <w:r w:rsidR="00BA295A" w:rsidRPr="00A837D9">
        <w:rPr>
          <w:rFonts w:asciiTheme="majorHAnsi" w:hAnsiTheme="majorHAnsi"/>
          <w:noProof/>
        </w:rPr>
        <w:t>from</w:t>
      </w:r>
      <w:r w:rsidR="00BA295A" w:rsidRPr="00DC71EE">
        <w:rPr>
          <w:rFonts w:asciiTheme="majorHAnsi" w:hAnsiTheme="majorHAnsi"/>
        </w:rPr>
        <w:t xml:space="preserve"> </w:t>
      </w:r>
      <w:r w:rsidRPr="00DC71EE">
        <w:rPr>
          <w:rFonts w:asciiTheme="majorHAnsi" w:hAnsiTheme="majorHAnsi"/>
        </w:rPr>
        <w:t xml:space="preserve">word-of-mouth about the </w:t>
      </w:r>
      <w:r w:rsidR="001B78B5" w:rsidRPr="00DC71EE">
        <w:rPr>
          <w:rFonts w:asciiTheme="majorHAnsi" w:hAnsiTheme="majorHAnsi"/>
        </w:rPr>
        <w:t>performance of</w:t>
      </w:r>
      <w:r w:rsidRPr="00DC71EE">
        <w:rPr>
          <w:rFonts w:asciiTheme="majorHAnsi" w:hAnsiTheme="majorHAnsi"/>
        </w:rPr>
        <w:t xml:space="preserve"> the </w:t>
      </w:r>
      <w:r w:rsidR="001B78B5" w:rsidRPr="00DC71EE">
        <w:rPr>
          <w:rFonts w:asciiTheme="majorHAnsi" w:hAnsiTheme="majorHAnsi"/>
        </w:rPr>
        <w:t>fund over time</w:t>
      </w:r>
      <w:r w:rsidRPr="00DC71EE">
        <w:rPr>
          <w:rFonts w:asciiTheme="majorHAnsi" w:hAnsiTheme="majorHAnsi"/>
        </w:rPr>
        <w:t>,</w:t>
      </w:r>
      <w:r w:rsidR="001B78B5" w:rsidRPr="00DC71EE">
        <w:rPr>
          <w:rFonts w:asciiTheme="majorHAnsi" w:hAnsiTheme="majorHAnsi"/>
        </w:rPr>
        <w:t xml:space="preserve"> and the global marketing </w:t>
      </w:r>
      <w:r w:rsidR="001B78B5" w:rsidRPr="00DC71EE">
        <w:rPr>
          <w:rFonts w:asciiTheme="majorHAnsi" w:hAnsiTheme="majorHAnsi"/>
          <w:noProof/>
        </w:rPr>
        <w:t>campaign</w:t>
      </w:r>
      <w:r w:rsidR="001B78B5" w:rsidRPr="00DC71EE">
        <w:rPr>
          <w:rFonts w:asciiTheme="majorHAnsi" w:hAnsiTheme="majorHAnsi"/>
        </w:rPr>
        <w:t xml:space="preserve"> over social</w:t>
      </w:r>
      <w:r w:rsidRPr="00DC71EE">
        <w:rPr>
          <w:rFonts w:asciiTheme="majorHAnsi" w:hAnsiTheme="majorHAnsi"/>
        </w:rPr>
        <w:t xml:space="preserve"> media, </w:t>
      </w:r>
      <w:r w:rsidR="001B78B5" w:rsidRPr="00DC71EE">
        <w:rPr>
          <w:rFonts w:asciiTheme="majorHAnsi" w:hAnsiTheme="majorHAnsi"/>
        </w:rPr>
        <w:t>roadshows</w:t>
      </w:r>
      <w:r w:rsidR="007208E6">
        <w:rPr>
          <w:rFonts w:asciiTheme="majorHAnsi" w:hAnsiTheme="majorHAnsi"/>
        </w:rPr>
        <w:t>,</w:t>
      </w:r>
      <w:r w:rsidR="001B78B5" w:rsidRPr="00DC71EE">
        <w:rPr>
          <w:rFonts w:asciiTheme="majorHAnsi" w:hAnsiTheme="majorHAnsi"/>
        </w:rPr>
        <w:t xml:space="preserve"> </w:t>
      </w:r>
      <w:r w:rsidR="001B78B5" w:rsidRPr="007208E6">
        <w:rPr>
          <w:rFonts w:asciiTheme="majorHAnsi" w:hAnsiTheme="majorHAnsi"/>
          <w:noProof/>
        </w:rPr>
        <w:t>and</w:t>
      </w:r>
      <w:r w:rsidR="001B78B5" w:rsidRPr="00DC71EE">
        <w:rPr>
          <w:rFonts w:asciiTheme="majorHAnsi" w:hAnsiTheme="majorHAnsi"/>
        </w:rPr>
        <w:t xml:space="preserve"> conve</w:t>
      </w:r>
      <w:r w:rsidRPr="00DC71EE">
        <w:rPr>
          <w:rFonts w:asciiTheme="majorHAnsi" w:hAnsiTheme="majorHAnsi"/>
        </w:rPr>
        <w:t>ntions, especially</w:t>
      </w:r>
      <w:r w:rsidR="001B78B5" w:rsidRPr="00DC71EE">
        <w:rPr>
          <w:rFonts w:asciiTheme="majorHAnsi" w:hAnsiTheme="majorHAnsi"/>
        </w:rPr>
        <w:t xml:space="preserve"> aimed at creating </w:t>
      </w:r>
      <w:r w:rsidR="005F12DC" w:rsidRPr="00DC71EE">
        <w:rPr>
          <w:rFonts w:asciiTheme="majorHAnsi" w:hAnsiTheme="majorHAnsi"/>
        </w:rPr>
        <w:t xml:space="preserve">a </w:t>
      </w:r>
      <w:r w:rsidRPr="00DC71EE">
        <w:rPr>
          <w:rFonts w:asciiTheme="majorHAnsi" w:hAnsiTheme="majorHAnsi"/>
          <w:noProof/>
        </w:rPr>
        <w:t>community</w:t>
      </w:r>
      <w:r w:rsidRPr="00DC71EE">
        <w:rPr>
          <w:rFonts w:asciiTheme="majorHAnsi" w:hAnsiTheme="majorHAnsi"/>
        </w:rPr>
        <w:t xml:space="preserve"> of like-minded </w:t>
      </w:r>
      <w:r w:rsidRPr="00DC71EE">
        <w:rPr>
          <w:rFonts w:asciiTheme="majorHAnsi" w:hAnsiTheme="majorHAnsi"/>
          <w:noProof/>
        </w:rPr>
        <w:t>investors</w:t>
      </w:r>
      <w:r w:rsidR="001B78B5" w:rsidRPr="00DC71EE">
        <w:rPr>
          <w:rFonts w:asciiTheme="majorHAnsi" w:hAnsiTheme="majorHAnsi"/>
        </w:rPr>
        <w:t>.</w:t>
      </w:r>
    </w:p>
    <w:p w:rsidR="0016590F" w:rsidRPr="00DC71EE" w:rsidRDefault="001B78B5" w:rsidP="00460C2C">
      <w:pPr>
        <w:pStyle w:val="Corpotesto"/>
        <w:spacing w:after="280"/>
        <w:rPr>
          <w:rFonts w:asciiTheme="majorHAnsi" w:hAnsiTheme="majorHAnsi"/>
        </w:rPr>
      </w:pPr>
      <w:r w:rsidRPr="00DC71EE">
        <w:rPr>
          <w:rFonts w:asciiTheme="majorHAnsi" w:hAnsiTheme="majorHAnsi"/>
        </w:rPr>
        <w:t>Every customer</w:t>
      </w:r>
      <w:r w:rsidR="00513AF4" w:rsidRPr="00DC71EE">
        <w:rPr>
          <w:rFonts w:asciiTheme="majorHAnsi" w:hAnsiTheme="majorHAnsi"/>
        </w:rPr>
        <w:t>,</w:t>
      </w:r>
      <w:r w:rsidRPr="00DC71EE">
        <w:rPr>
          <w:rFonts w:asciiTheme="majorHAnsi" w:hAnsiTheme="majorHAnsi"/>
        </w:rPr>
        <w:t xml:space="preserve"> both Institutional or private</w:t>
      </w:r>
      <w:r w:rsidR="00513AF4" w:rsidRPr="00DC71EE">
        <w:rPr>
          <w:rFonts w:asciiTheme="majorHAnsi" w:hAnsiTheme="majorHAnsi"/>
        </w:rPr>
        <w:t>,</w:t>
      </w:r>
      <w:r w:rsidRPr="00DC71EE">
        <w:rPr>
          <w:rFonts w:asciiTheme="majorHAnsi" w:hAnsiTheme="majorHAnsi"/>
        </w:rPr>
        <w:t xml:space="preserve"> can access the services only by having CFX Tokens. Therefore</w:t>
      </w:r>
      <w:r w:rsidR="00513AF4" w:rsidRPr="00DC71EE">
        <w:rPr>
          <w:rFonts w:asciiTheme="majorHAnsi" w:hAnsiTheme="majorHAnsi"/>
        </w:rPr>
        <w:t>,</w:t>
      </w:r>
      <w:r w:rsidRPr="00DC71EE">
        <w:rPr>
          <w:rFonts w:asciiTheme="majorHAnsi" w:hAnsiTheme="majorHAnsi"/>
        </w:rPr>
        <w:t xml:space="preserve"> the price of CFX tokens will be subject not only to economic results but also from the scarcity effect of a broadening base of customers over time.</w:t>
      </w:r>
    </w:p>
    <w:p w:rsidR="0016590F" w:rsidRPr="00DC71EE" w:rsidRDefault="001B78B5" w:rsidP="00460C2C">
      <w:pPr>
        <w:pStyle w:val="Corpotesto"/>
        <w:spacing w:after="280"/>
        <w:rPr>
          <w:rFonts w:asciiTheme="majorHAnsi" w:hAnsiTheme="majorHAnsi"/>
        </w:rPr>
      </w:pPr>
      <w:r w:rsidRPr="00DC71EE">
        <w:rPr>
          <w:rFonts w:asciiTheme="majorHAnsi" w:hAnsiTheme="majorHAnsi"/>
          <w:b/>
          <w:bCs/>
        </w:rPr>
        <w:t>T</w:t>
      </w:r>
      <w:r w:rsidR="00BA295A" w:rsidRPr="00DC71EE">
        <w:rPr>
          <w:rFonts w:asciiTheme="majorHAnsi" w:hAnsiTheme="majorHAnsi"/>
          <w:b/>
          <w:bCs/>
        </w:rPr>
        <w:t xml:space="preserve">he </w:t>
      </w:r>
      <w:r w:rsidRPr="00DC71EE">
        <w:rPr>
          <w:rFonts w:asciiTheme="majorHAnsi" w:hAnsiTheme="majorHAnsi"/>
          <w:b/>
          <w:bCs/>
        </w:rPr>
        <w:t>S</w:t>
      </w:r>
      <w:r w:rsidR="00BA295A" w:rsidRPr="00DC71EE">
        <w:rPr>
          <w:rFonts w:asciiTheme="majorHAnsi" w:hAnsiTheme="majorHAnsi"/>
          <w:b/>
          <w:bCs/>
        </w:rPr>
        <w:t xml:space="preserve">entiment </w:t>
      </w:r>
      <w:r w:rsidRPr="00DC71EE">
        <w:rPr>
          <w:rFonts w:asciiTheme="majorHAnsi" w:hAnsiTheme="majorHAnsi"/>
          <w:b/>
          <w:bCs/>
        </w:rPr>
        <w:t>B</w:t>
      </w:r>
      <w:r w:rsidR="00BA295A" w:rsidRPr="00DC71EE">
        <w:rPr>
          <w:rFonts w:asciiTheme="majorHAnsi" w:hAnsiTheme="majorHAnsi"/>
          <w:b/>
          <w:bCs/>
        </w:rPr>
        <w:t>oost</w:t>
      </w:r>
    </w:p>
    <w:p w:rsidR="0016590F" w:rsidRDefault="001B78B5" w:rsidP="00460C2C">
      <w:pPr>
        <w:pStyle w:val="Corpotesto"/>
        <w:spacing w:after="280"/>
        <w:rPr>
          <w:rFonts w:asciiTheme="majorHAnsi" w:hAnsiTheme="majorHAnsi"/>
        </w:rPr>
      </w:pPr>
      <w:r w:rsidRPr="00DC71EE">
        <w:rPr>
          <w:rFonts w:asciiTheme="majorHAnsi" w:hAnsiTheme="majorHAnsi"/>
        </w:rPr>
        <w:t>What cannot be foreseen, but may be impressive over time, are the revenues coming f</w:t>
      </w:r>
      <w:r w:rsidR="00513AF4" w:rsidRPr="00DC71EE">
        <w:rPr>
          <w:rFonts w:asciiTheme="majorHAnsi" w:hAnsiTheme="majorHAnsi"/>
        </w:rPr>
        <w:t>rom the</w:t>
      </w:r>
      <w:r w:rsidRPr="00DC71EE">
        <w:rPr>
          <w:rFonts w:asciiTheme="majorHAnsi" w:hAnsiTheme="majorHAnsi"/>
        </w:rPr>
        <w:t xml:space="preserve"> CFX Sentiment Index</w:t>
      </w:r>
      <w:r w:rsidR="00513AF4" w:rsidRPr="00DC71EE">
        <w:rPr>
          <w:rFonts w:asciiTheme="majorHAnsi" w:hAnsiTheme="majorHAnsi"/>
        </w:rPr>
        <w:t xml:space="preserve">’s disruptive technology. </w:t>
      </w:r>
      <w:r w:rsidRPr="00DC71EE">
        <w:rPr>
          <w:rFonts w:asciiTheme="majorHAnsi" w:hAnsiTheme="majorHAnsi"/>
        </w:rPr>
        <w:t>The CFX Sentiment data will b</w:t>
      </w:r>
      <w:r w:rsidR="00A23F04" w:rsidRPr="00DC71EE">
        <w:rPr>
          <w:rFonts w:asciiTheme="majorHAnsi" w:hAnsiTheme="majorHAnsi"/>
        </w:rPr>
        <w:t xml:space="preserve">e collected and applied in many </w:t>
      </w:r>
      <w:r w:rsidRPr="00A837D9">
        <w:rPr>
          <w:rFonts w:asciiTheme="majorHAnsi" w:hAnsiTheme="majorHAnsi"/>
          <w:noProof/>
        </w:rPr>
        <w:t>sector</w:t>
      </w:r>
      <w:r w:rsidR="00A23F04" w:rsidRPr="00A837D9">
        <w:rPr>
          <w:rFonts w:asciiTheme="majorHAnsi" w:hAnsiTheme="majorHAnsi"/>
          <w:noProof/>
        </w:rPr>
        <w:t>s</w:t>
      </w:r>
      <w:r w:rsidR="00A837D9">
        <w:rPr>
          <w:rFonts w:asciiTheme="majorHAnsi" w:hAnsiTheme="majorHAnsi"/>
          <w:noProof/>
        </w:rPr>
        <w:t xml:space="preserve"> </w:t>
      </w:r>
      <w:r w:rsidR="00A23F04" w:rsidRPr="00A837D9">
        <w:rPr>
          <w:rFonts w:asciiTheme="majorHAnsi" w:hAnsiTheme="majorHAnsi"/>
          <w:noProof/>
        </w:rPr>
        <w:t>ranging</w:t>
      </w:r>
      <w:r w:rsidR="00A23F04" w:rsidRPr="00DC71EE">
        <w:rPr>
          <w:rFonts w:asciiTheme="majorHAnsi" w:hAnsiTheme="majorHAnsi"/>
        </w:rPr>
        <w:t xml:space="preserve"> from Politics to Economics,</w:t>
      </w:r>
      <w:r w:rsidRPr="00DC71EE">
        <w:rPr>
          <w:rFonts w:asciiTheme="majorHAnsi" w:hAnsiTheme="majorHAnsi"/>
        </w:rPr>
        <w:t xml:space="preserve"> and even the sales of basic products. The Statistics will be refined every day and will become an impressive source of forecasting data for </w:t>
      </w:r>
      <w:r w:rsidR="00513AF4" w:rsidRPr="00DC71EE">
        <w:rPr>
          <w:rFonts w:asciiTheme="majorHAnsi" w:hAnsiTheme="majorHAnsi"/>
        </w:rPr>
        <w:t>many us</w:t>
      </w:r>
      <w:r w:rsidRPr="00DC71EE">
        <w:rPr>
          <w:rFonts w:asciiTheme="majorHAnsi" w:hAnsiTheme="majorHAnsi"/>
        </w:rPr>
        <w:t>e</w:t>
      </w:r>
      <w:r w:rsidR="00513AF4" w:rsidRPr="00DC71EE">
        <w:rPr>
          <w:rFonts w:asciiTheme="majorHAnsi" w:hAnsiTheme="majorHAnsi"/>
        </w:rPr>
        <w:t>s. This will be on blockchain;</w:t>
      </w:r>
      <w:r w:rsidRPr="00DC71EE">
        <w:rPr>
          <w:rFonts w:asciiTheme="majorHAnsi" w:hAnsiTheme="majorHAnsi"/>
        </w:rPr>
        <w:t xml:space="preserve"> immutable, </w:t>
      </w:r>
      <w:r w:rsidR="005F12DC" w:rsidRPr="00DC71EE">
        <w:rPr>
          <w:rFonts w:asciiTheme="majorHAnsi" w:hAnsiTheme="majorHAnsi"/>
          <w:noProof/>
        </w:rPr>
        <w:t>i</w:t>
      </w:r>
      <w:r w:rsidRPr="00DC71EE">
        <w:rPr>
          <w:rFonts w:asciiTheme="majorHAnsi" w:hAnsiTheme="majorHAnsi"/>
          <w:noProof/>
        </w:rPr>
        <w:t>ncorruptible</w:t>
      </w:r>
      <w:r w:rsidRPr="00DC71EE">
        <w:rPr>
          <w:rFonts w:asciiTheme="majorHAnsi" w:hAnsiTheme="majorHAnsi"/>
        </w:rPr>
        <w:t xml:space="preserve">, </w:t>
      </w:r>
      <w:r w:rsidR="00A23F04" w:rsidRPr="00DC71EE">
        <w:rPr>
          <w:rFonts w:asciiTheme="majorHAnsi" w:hAnsiTheme="majorHAnsi"/>
        </w:rPr>
        <w:t>and independent of</w:t>
      </w:r>
      <w:r w:rsidRPr="00DC71EE">
        <w:rPr>
          <w:rFonts w:asciiTheme="majorHAnsi" w:hAnsiTheme="majorHAnsi"/>
        </w:rPr>
        <w:t xml:space="preserve"> global organizations, central banks</w:t>
      </w:r>
      <w:r w:rsidR="00A23F04" w:rsidRPr="00DC71EE">
        <w:rPr>
          <w:rFonts w:asciiTheme="majorHAnsi" w:hAnsiTheme="majorHAnsi"/>
        </w:rPr>
        <w:t>,</w:t>
      </w:r>
      <w:r w:rsidRPr="00DC71EE">
        <w:rPr>
          <w:rFonts w:asciiTheme="majorHAnsi" w:hAnsiTheme="majorHAnsi"/>
        </w:rPr>
        <w:t xml:space="preserve"> and states.</w:t>
      </w:r>
    </w:p>
    <w:p w:rsidR="00E61848" w:rsidRPr="004359F7" w:rsidRDefault="00E61848" w:rsidP="00460C2C">
      <w:pPr>
        <w:pStyle w:val="Titolo3"/>
        <w:shd w:val="clear" w:color="auto" w:fill="50D4D1"/>
        <w:spacing w:after="280"/>
        <w:rPr>
          <w:rFonts w:asciiTheme="majorHAnsi" w:hAnsiTheme="majorHAnsi"/>
          <w:szCs w:val="28"/>
        </w:rPr>
      </w:pPr>
      <w:r>
        <w:rPr>
          <w:rFonts w:asciiTheme="majorHAnsi" w:hAnsiTheme="majorHAnsi"/>
          <w:szCs w:val="28"/>
        </w:rPr>
        <w:lastRenderedPageBreak/>
        <w:t>Revenue</w:t>
      </w:r>
      <w:r w:rsidRPr="00E61848">
        <w:rPr>
          <w:rFonts w:asciiTheme="majorHAnsi" w:hAnsiTheme="majorHAnsi"/>
          <w:szCs w:val="28"/>
        </w:rPr>
        <w:t xml:space="preserve"> by Month</w:t>
      </w:r>
    </w:p>
    <w:p w:rsidR="00E74ADB" w:rsidRDefault="00E74ADB" w:rsidP="00460C2C">
      <w:pPr>
        <w:spacing w:after="280" w:afterAutospacing="1"/>
      </w:pPr>
      <w:r>
        <w:rPr>
          <w:noProof/>
          <w:lang w:val="en-US" w:eastAsia="en-US"/>
        </w:rPr>
        <w:drawing>
          <wp:inline distT="0" distB="0" distL="0" distR="0" wp14:anchorId="6594A28B" wp14:editId="122CA1AA">
            <wp:extent cx="6247014" cy="572346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57097" cy="5732704"/>
                    </a:xfrm>
                    <a:prstGeom prst="rect">
                      <a:avLst/>
                    </a:prstGeom>
                    <a:noFill/>
                    <a:ln>
                      <a:noFill/>
                    </a:ln>
                  </pic:spPr>
                </pic:pic>
              </a:graphicData>
            </a:graphic>
          </wp:inline>
        </w:drawing>
      </w:r>
    </w:p>
    <w:p w:rsidR="00E61848" w:rsidRPr="004359F7" w:rsidRDefault="00E61848" w:rsidP="00460C2C">
      <w:pPr>
        <w:pStyle w:val="Titolo3"/>
        <w:shd w:val="clear" w:color="auto" w:fill="50D4D1"/>
        <w:spacing w:after="280"/>
        <w:rPr>
          <w:rFonts w:asciiTheme="majorHAnsi" w:hAnsiTheme="majorHAnsi"/>
          <w:szCs w:val="28"/>
        </w:rPr>
      </w:pPr>
      <w:r w:rsidRPr="00E61848">
        <w:rPr>
          <w:rFonts w:asciiTheme="majorHAnsi" w:hAnsiTheme="majorHAnsi"/>
          <w:szCs w:val="28"/>
        </w:rPr>
        <w:lastRenderedPageBreak/>
        <w:t>Expenses by Month</w:t>
      </w:r>
    </w:p>
    <w:p w:rsidR="00E74ADB" w:rsidRDefault="00E74ADB" w:rsidP="00460C2C">
      <w:pPr>
        <w:spacing w:after="280" w:afterAutospacing="1"/>
      </w:pPr>
      <w:r>
        <w:rPr>
          <w:noProof/>
          <w:lang w:val="en-US" w:eastAsia="en-US"/>
        </w:rPr>
        <w:drawing>
          <wp:inline distT="0" distB="0" distL="0" distR="0" wp14:anchorId="5542B133" wp14:editId="7A94E570">
            <wp:extent cx="6688243" cy="580736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720820" cy="5835646"/>
                    </a:xfrm>
                    <a:prstGeom prst="rect">
                      <a:avLst/>
                    </a:prstGeom>
                    <a:noFill/>
                    <a:ln>
                      <a:noFill/>
                    </a:ln>
                  </pic:spPr>
                </pic:pic>
              </a:graphicData>
            </a:graphic>
          </wp:inline>
        </w:drawing>
      </w:r>
    </w:p>
    <w:p w:rsidR="00E61848" w:rsidRPr="004359F7" w:rsidRDefault="00E61848" w:rsidP="00460C2C">
      <w:pPr>
        <w:pStyle w:val="Titolo3"/>
        <w:shd w:val="clear" w:color="auto" w:fill="50D4D1"/>
        <w:spacing w:after="280"/>
        <w:rPr>
          <w:rFonts w:asciiTheme="majorHAnsi" w:hAnsiTheme="majorHAnsi"/>
          <w:szCs w:val="28"/>
        </w:rPr>
      </w:pPr>
      <w:r w:rsidRPr="004359F7">
        <w:rPr>
          <w:rFonts w:asciiTheme="majorHAnsi" w:hAnsiTheme="majorHAnsi"/>
          <w:szCs w:val="28"/>
        </w:rPr>
        <w:lastRenderedPageBreak/>
        <w:t>Net Profit (or Loss) by Year</w:t>
      </w:r>
    </w:p>
    <w:p w:rsidR="00E74ADB" w:rsidRDefault="00E74ADB" w:rsidP="00460C2C">
      <w:pPr>
        <w:spacing w:after="280" w:afterAutospacing="1"/>
      </w:pPr>
      <w:r>
        <w:rPr>
          <w:noProof/>
          <w:lang w:val="en-US" w:eastAsia="en-US"/>
        </w:rPr>
        <w:drawing>
          <wp:inline distT="0" distB="0" distL="0" distR="0" wp14:anchorId="3D32F9D1" wp14:editId="67A691C7">
            <wp:extent cx="6443345" cy="646853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64411" cy="6489681"/>
                    </a:xfrm>
                    <a:prstGeom prst="rect">
                      <a:avLst/>
                    </a:prstGeom>
                    <a:noFill/>
                    <a:ln>
                      <a:noFill/>
                    </a:ln>
                  </pic:spPr>
                </pic:pic>
              </a:graphicData>
            </a:graphic>
          </wp:inline>
        </w:drawing>
      </w:r>
    </w:p>
    <w:p w:rsidR="004B110F" w:rsidRPr="00314510" w:rsidRDefault="001B78B5" w:rsidP="00460C2C">
      <w:pPr>
        <w:pStyle w:val="Titolo2"/>
        <w:spacing w:after="280"/>
        <w:rPr>
          <w:rFonts w:ascii="Franklin Gothic Demi" w:eastAsia="Times New Roman" w:hAnsi="Franklin Gothic Demi" w:cs="Times New Roman"/>
          <w:b w:val="0"/>
          <w:bCs w:val="0"/>
          <w:iCs w:val="0"/>
          <w:noProof/>
          <w:color w:val="00B0F0"/>
          <w:spacing w:val="26"/>
          <w:szCs w:val="36"/>
          <w:lang w:val="en-US" w:eastAsia="en-US"/>
        </w:rPr>
      </w:pPr>
      <w:bookmarkStart w:id="87" w:name="_Toc256000073"/>
      <w:bookmarkStart w:id="88" w:name="_Toc256000054"/>
      <w:bookmarkStart w:id="89" w:name="_Toc256000035"/>
      <w:bookmarkStart w:id="90" w:name="_Toc256000016"/>
      <w:bookmarkStart w:id="91" w:name="_Toc523440006"/>
      <w:r w:rsidRPr="00314510">
        <w:rPr>
          <w:rFonts w:ascii="Franklin Gothic Demi" w:eastAsia="Times New Roman" w:hAnsi="Franklin Gothic Demi" w:cs="Times New Roman"/>
          <w:b w:val="0"/>
          <w:bCs w:val="0"/>
          <w:iCs w:val="0"/>
          <w:noProof/>
          <w:color w:val="00B0F0"/>
          <w:spacing w:val="26"/>
          <w:szCs w:val="36"/>
          <w:lang w:val="en-US" w:eastAsia="en-US"/>
        </w:rPr>
        <w:lastRenderedPageBreak/>
        <w:t>Financing</w:t>
      </w:r>
      <w:bookmarkEnd w:id="87"/>
      <w:bookmarkEnd w:id="88"/>
      <w:bookmarkEnd w:id="89"/>
      <w:bookmarkEnd w:id="90"/>
      <w:bookmarkEnd w:id="91"/>
    </w:p>
    <w:p w:rsidR="004B110F" w:rsidRPr="00046E2B" w:rsidRDefault="00314510" w:rsidP="00460C2C">
      <w:pPr>
        <w:pStyle w:val="Titolo3"/>
        <w:spacing w:after="280"/>
        <w:rPr>
          <w:rFonts w:asciiTheme="majorHAnsi" w:hAnsiTheme="majorHAnsi"/>
          <w:color w:val="FF0000"/>
          <w:szCs w:val="28"/>
        </w:rPr>
      </w:pPr>
      <w:r w:rsidRPr="00046E2B">
        <w:rPr>
          <w:rFonts w:asciiTheme="majorHAnsi" w:hAnsiTheme="majorHAnsi"/>
          <w:color w:val="FF0000"/>
          <w:szCs w:val="28"/>
        </w:rPr>
        <w:t>USE OF FUNDS</w:t>
      </w:r>
    </w:p>
    <w:p w:rsidR="004B110F" w:rsidRPr="00046E2B" w:rsidRDefault="00314510" w:rsidP="00460C2C">
      <w:pPr>
        <w:pStyle w:val="Titolo3"/>
        <w:spacing w:after="280"/>
        <w:rPr>
          <w:rFonts w:asciiTheme="majorHAnsi" w:hAnsiTheme="majorHAnsi"/>
          <w:color w:val="FF0000"/>
          <w:szCs w:val="28"/>
        </w:rPr>
      </w:pPr>
      <w:r w:rsidRPr="00046E2B">
        <w:rPr>
          <w:rFonts w:asciiTheme="majorHAnsi" w:hAnsiTheme="majorHAnsi"/>
          <w:color w:val="FF0000"/>
          <w:szCs w:val="28"/>
        </w:rPr>
        <w:t>SOURCES OF FUNDS</w:t>
      </w:r>
    </w:p>
    <w:p w:rsidR="004B110F" w:rsidRDefault="00314510" w:rsidP="00460C2C">
      <w:pPr>
        <w:pStyle w:val="Titolo3"/>
        <w:spacing w:after="280"/>
        <w:rPr>
          <w:rFonts w:asciiTheme="majorHAnsi" w:hAnsiTheme="majorHAnsi"/>
          <w:szCs w:val="28"/>
        </w:rPr>
      </w:pPr>
      <w:bookmarkStart w:id="92" w:name="_Toc256000074"/>
      <w:bookmarkStart w:id="93" w:name="_Toc256000055"/>
      <w:bookmarkStart w:id="94" w:name="_Toc256000036"/>
      <w:bookmarkStart w:id="95" w:name="_Toc256000017"/>
      <w:r w:rsidRPr="00314510">
        <w:rPr>
          <w:rFonts w:asciiTheme="majorHAnsi" w:hAnsiTheme="majorHAnsi"/>
          <w:szCs w:val="28"/>
        </w:rPr>
        <w:t>STATEMENTS</w:t>
      </w:r>
      <w:bookmarkEnd w:id="92"/>
      <w:bookmarkEnd w:id="93"/>
      <w:bookmarkEnd w:id="94"/>
      <w:bookmarkEnd w:id="95"/>
    </w:p>
    <w:p w:rsidR="00D8640C" w:rsidRPr="00D8640C" w:rsidRDefault="00D8640C" w:rsidP="00460C2C"/>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920594" w:rsidTr="00C521BC">
        <w:trPr>
          <w:trHeight w:val="387"/>
        </w:trPr>
        <w:tc>
          <w:tcPr>
            <w:tcW w:w="9576" w:type="dxa"/>
            <w:shd w:val="clear" w:color="auto" w:fill="50D4D1"/>
            <w:vAlign w:val="center"/>
          </w:tcPr>
          <w:p w:rsidR="00920594" w:rsidRDefault="00920594" w:rsidP="00460C2C">
            <w:pPr>
              <w:pStyle w:val="Titolo3"/>
              <w:spacing w:after="280"/>
              <w:rPr>
                <w:rFonts w:asciiTheme="majorHAnsi" w:hAnsiTheme="majorHAnsi"/>
                <w:szCs w:val="28"/>
              </w:rPr>
            </w:pPr>
            <w:r w:rsidRPr="00314510">
              <w:rPr>
                <w:rFonts w:asciiTheme="majorHAnsi" w:hAnsiTheme="majorHAnsi"/>
                <w:szCs w:val="28"/>
              </w:rPr>
              <w:lastRenderedPageBreak/>
              <w:t>Projected Profit and Loss</w:t>
            </w:r>
          </w:p>
        </w:tc>
      </w:tr>
      <w:tr w:rsidR="00920594" w:rsidTr="00920594">
        <w:trPr>
          <w:trHeight w:val="107"/>
        </w:trPr>
        <w:tc>
          <w:tcPr>
            <w:tcW w:w="9576" w:type="dxa"/>
            <w:shd w:val="clear" w:color="auto" w:fill="auto"/>
          </w:tcPr>
          <w:p w:rsidR="00920594" w:rsidRPr="00920594" w:rsidRDefault="00920594" w:rsidP="00460C2C">
            <w:pPr>
              <w:pStyle w:val="Titolo3"/>
              <w:spacing w:after="0" w:afterAutospacing="0" w:line="276" w:lineRule="auto"/>
              <w:rPr>
                <w:rFonts w:asciiTheme="majorHAnsi" w:hAnsiTheme="majorHAnsi"/>
                <w:sz w:val="2"/>
                <w:szCs w:val="28"/>
              </w:rPr>
            </w:pPr>
          </w:p>
        </w:tc>
      </w:tr>
    </w:tbl>
    <w:tbl>
      <w:tblPr>
        <w:tblW w:w="9457" w:type="dxa"/>
        <w:jc w:val="center"/>
        <w:tblLook w:val="04A0" w:firstRow="1" w:lastRow="0" w:firstColumn="1" w:lastColumn="0" w:noHBand="0" w:noVBand="1"/>
      </w:tblPr>
      <w:tblGrid>
        <w:gridCol w:w="2933"/>
        <w:gridCol w:w="1232"/>
        <w:gridCol w:w="1233"/>
        <w:gridCol w:w="1353"/>
        <w:gridCol w:w="1353"/>
        <w:gridCol w:w="1353"/>
      </w:tblGrid>
      <w:tr w:rsidR="0016590F" w:rsidTr="009370F1">
        <w:trPr>
          <w:cantSplit/>
          <w:trHeight w:val="277"/>
          <w:jc w:val="center"/>
        </w:trPr>
        <w:tc>
          <w:tcPr>
            <w:tcW w:w="0" w:type="auto"/>
            <w:tcBorders>
              <w:top w:val="nil"/>
              <w:left w:val="nil"/>
              <w:bottom w:val="single" w:sz="8" w:space="0" w:color="000000"/>
              <w:right w:val="nil"/>
              <w:tl2br w:val="nil"/>
              <w:tr2bl w:val="nil"/>
            </w:tcBorders>
            <w:shd w:val="clear" w:color="auto" w:fill="018BB3"/>
            <w:tcMar>
              <w:top w:w="60" w:type="dxa"/>
              <w:left w:w="0" w:type="dxa"/>
              <w:bottom w:w="100" w:type="dxa"/>
              <w:right w:w="0" w:type="dxa"/>
            </w:tcMar>
            <w:vAlign w:val="center"/>
          </w:tcPr>
          <w:p w:rsidR="004B110F" w:rsidRDefault="004B110F" w:rsidP="00460C2C">
            <w:pPr>
              <w:pStyle w:val="FinancialTableHeader"/>
              <w:keepNext/>
              <w:keepLines/>
              <w:spacing w:after="280"/>
            </w:pPr>
          </w:p>
        </w:tc>
        <w:tc>
          <w:tcPr>
            <w:tcW w:w="0" w:type="auto"/>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FinancialTableHeader"/>
              <w:keepNext/>
              <w:keepLines/>
              <w:spacing w:after="280"/>
            </w:pPr>
            <w:r>
              <w:t>2019</w:t>
            </w:r>
          </w:p>
        </w:tc>
        <w:tc>
          <w:tcPr>
            <w:tcW w:w="0" w:type="auto"/>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FinancialTableHeader"/>
              <w:keepNext/>
              <w:keepLines/>
              <w:spacing w:after="280"/>
            </w:pPr>
            <w:r>
              <w:t>2020</w:t>
            </w:r>
          </w:p>
        </w:tc>
        <w:tc>
          <w:tcPr>
            <w:tcW w:w="0" w:type="auto"/>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FinancialTableHeader"/>
              <w:keepNext/>
              <w:keepLines/>
              <w:spacing w:after="280"/>
            </w:pPr>
            <w:r>
              <w:t>2021</w:t>
            </w:r>
          </w:p>
        </w:tc>
        <w:tc>
          <w:tcPr>
            <w:tcW w:w="0" w:type="auto"/>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FinancialTableHeader"/>
              <w:keepNext/>
              <w:keepLines/>
              <w:spacing w:after="280"/>
            </w:pPr>
            <w:r>
              <w:t>2022</w:t>
            </w:r>
          </w:p>
        </w:tc>
        <w:tc>
          <w:tcPr>
            <w:tcW w:w="0" w:type="auto"/>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FinancialTableHeader"/>
              <w:keepNext/>
              <w:keepLines/>
              <w:spacing w:after="280"/>
            </w:pPr>
            <w:r>
              <w:t>2023</w:t>
            </w:r>
          </w:p>
        </w:tc>
      </w:tr>
      <w:tr w:rsidR="0016590F" w:rsidTr="009370F1">
        <w:trPr>
          <w:cantSplit/>
          <w:trHeight w:val="254"/>
          <w:jc w:val="center"/>
        </w:trPr>
        <w:tc>
          <w:tcPr>
            <w:tcW w:w="0" w:type="auto"/>
            <w:tcBorders>
              <w:top w:val="nil"/>
              <w:left w:val="nil"/>
              <w:bottom w:val="single" w:sz="8" w:space="0" w:color="000000"/>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GroupFooter"/>
              <w:keepNext/>
              <w:keepLines/>
              <w:spacing w:after="280"/>
            </w:pPr>
            <w:r>
              <w:t>Revenue</w:t>
            </w:r>
          </w:p>
        </w:tc>
        <w:tc>
          <w:tcPr>
            <w:tcW w:w="0" w:type="auto"/>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GroupFooter"/>
              <w:keepNext/>
              <w:keepLines/>
              <w:spacing w:after="280"/>
            </w:pPr>
            <w:r>
              <w:t>€30,606,003</w:t>
            </w:r>
          </w:p>
        </w:tc>
        <w:tc>
          <w:tcPr>
            <w:tcW w:w="0" w:type="auto"/>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GroupFooter"/>
              <w:keepNext/>
              <w:keepLines/>
              <w:spacing w:after="280"/>
            </w:pPr>
            <w:r>
              <w:t>€57,509,905</w:t>
            </w:r>
          </w:p>
        </w:tc>
        <w:tc>
          <w:tcPr>
            <w:tcW w:w="0" w:type="auto"/>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GroupFooter"/>
              <w:keepNext/>
              <w:keepLines/>
              <w:spacing w:after="280"/>
            </w:pPr>
            <w:r>
              <w:t>€103,917,839</w:t>
            </w:r>
          </w:p>
        </w:tc>
        <w:tc>
          <w:tcPr>
            <w:tcW w:w="0" w:type="auto"/>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GroupFooter"/>
              <w:keepNext/>
              <w:keepLines/>
              <w:spacing w:after="280"/>
            </w:pPr>
            <w:r>
              <w:t>€191,702,920</w:t>
            </w:r>
          </w:p>
        </w:tc>
        <w:tc>
          <w:tcPr>
            <w:tcW w:w="0" w:type="auto"/>
            <w:tcBorders>
              <w:top w:val="nil"/>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GroupFooter"/>
              <w:keepNext/>
              <w:keepLines/>
              <w:spacing w:after="280"/>
            </w:pPr>
            <w:r>
              <w:t>€420,615,717</w:t>
            </w:r>
          </w:p>
        </w:tc>
      </w:tr>
      <w:tr w:rsidR="0016590F" w:rsidTr="009370F1">
        <w:trPr>
          <w:cantSplit/>
          <w:trHeight w:val="277"/>
          <w:jc w:val="center"/>
        </w:trPr>
        <w:tc>
          <w:tcPr>
            <w:tcW w:w="0" w:type="auto"/>
            <w:tcBorders>
              <w:top w:val="nil"/>
              <w:left w:val="nil"/>
              <w:bottom w:val="single" w:sz="8" w:space="0" w:color="000000"/>
              <w:right w:val="nil"/>
              <w:tl2br w:val="nil"/>
              <w:tr2bl w:val="nil"/>
            </w:tcBorders>
            <w:shd w:val="clear" w:color="auto" w:fill="B4C6E7" w:themeFill="accent1" w:themeFillTint="66"/>
            <w:tcMar>
              <w:top w:w="60" w:type="dxa"/>
              <w:left w:w="0" w:type="dxa"/>
              <w:bottom w:w="100" w:type="dxa"/>
              <w:right w:w="0" w:type="dxa"/>
            </w:tcMar>
            <w:vAlign w:val="center"/>
          </w:tcPr>
          <w:p w:rsidR="004B110F" w:rsidRDefault="001B78B5" w:rsidP="00460C2C">
            <w:pPr>
              <w:pStyle w:val="FinancialTableGroupFooter"/>
              <w:keepNext/>
              <w:keepLines/>
              <w:spacing w:after="280"/>
            </w:pPr>
            <w:r>
              <w:t>Direct Costs</w:t>
            </w:r>
          </w:p>
        </w:tc>
        <w:tc>
          <w:tcPr>
            <w:tcW w:w="0" w:type="auto"/>
            <w:tcBorders>
              <w:top w:val="nil"/>
              <w:left w:val="nil"/>
              <w:bottom w:val="single" w:sz="8" w:space="0" w:color="000000"/>
              <w:right w:val="nil"/>
              <w:tl2br w:val="nil"/>
              <w:tr2bl w:val="nil"/>
            </w:tcBorders>
            <w:shd w:val="clear" w:color="auto" w:fill="B4C6E7" w:themeFill="accent1" w:themeFillTint="66"/>
            <w:noWrap/>
            <w:tcMar>
              <w:top w:w="60" w:type="dxa"/>
              <w:left w:w="0" w:type="dxa"/>
              <w:bottom w:w="100" w:type="dxa"/>
              <w:right w:w="0" w:type="dxa"/>
            </w:tcMar>
            <w:vAlign w:val="bottom"/>
          </w:tcPr>
          <w:p w:rsidR="004B110F" w:rsidRDefault="001B78B5" w:rsidP="00460C2C">
            <w:pPr>
              <w:pStyle w:val="FinancialTableGroupFooter"/>
              <w:keepNext/>
              <w:keepLines/>
              <w:spacing w:after="280"/>
            </w:pPr>
            <w:r>
              <w:t>€18,049,904</w:t>
            </w:r>
          </w:p>
        </w:tc>
        <w:tc>
          <w:tcPr>
            <w:tcW w:w="0" w:type="auto"/>
            <w:tcBorders>
              <w:top w:val="nil"/>
              <w:left w:val="nil"/>
              <w:bottom w:val="single" w:sz="8" w:space="0" w:color="000000"/>
              <w:right w:val="nil"/>
              <w:tl2br w:val="nil"/>
              <w:tr2bl w:val="nil"/>
            </w:tcBorders>
            <w:shd w:val="clear" w:color="auto" w:fill="B4C6E7" w:themeFill="accent1" w:themeFillTint="66"/>
            <w:noWrap/>
            <w:tcMar>
              <w:top w:w="60" w:type="dxa"/>
              <w:left w:w="0" w:type="dxa"/>
              <w:bottom w:w="100" w:type="dxa"/>
              <w:right w:w="0" w:type="dxa"/>
            </w:tcMar>
            <w:vAlign w:val="bottom"/>
          </w:tcPr>
          <w:p w:rsidR="004B110F" w:rsidRDefault="001B78B5" w:rsidP="00460C2C">
            <w:pPr>
              <w:pStyle w:val="FinancialTableGroupFooter"/>
              <w:keepNext/>
              <w:keepLines/>
              <w:spacing w:after="280"/>
            </w:pPr>
            <w:r>
              <w:t>€26,745,586</w:t>
            </w:r>
          </w:p>
        </w:tc>
        <w:tc>
          <w:tcPr>
            <w:tcW w:w="0" w:type="auto"/>
            <w:tcBorders>
              <w:top w:val="nil"/>
              <w:left w:val="nil"/>
              <w:bottom w:val="single" w:sz="8" w:space="0" w:color="000000"/>
              <w:right w:val="nil"/>
              <w:tl2br w:val="nil"/>
              <w:tr2bl w:val="nil"/>
            </w:tcBorders>
            <w:shd w:val="clear" w:color="auto" w:fill="B4C6E7" w:themeFill="accent1" w:themeFillTint="66"/>
            <w:noWrap/>
            <w:tcMar>
              <w:top w:w="60" w:type="dxa"/>
              <w:left w:w="0" w:type="dxa"/>
              <w:bottom w:w="100" w:type="dxa"/>
              <w:right w:w="0" w:type="dxa"/>
            </w:tcMar>
            <w:vAlign w:val="bottom"/>
          </w:tcPr>
          <w:p w:rsidR="004B110F" w:rsidRDefault="001B78B5" w:rsidP="00460C2C">
            <w:pPr>
              <w:pStyle w:val="FinancialTableGroupFooter"/>
              <w:keepNext/>
              <w:keepLines/>
              <w:spacing w:after="280"/>
            </w:pPr>
            <w:r>
              <w:t>€42,106,219</w:t>
            </w:r>
          </w:p>
        </w:tc>
        <w:tc>
          <w:tcPr>
            <w:tcW w:w="0" w:type="auto"/>
            <w:tcBorders>
              <w:top w:val="nil"/>
              <w:left w:val="nil"/>
              <w:bottom w:val="single" w:sz="8" w:space="0" w:color="000000"/>
              <w:right w:val="nil"/>
              <w:tl2br w:val="nil"/>
              <w:tr2bl w:val="nil"/>
            </w:tcBorders>
            <w:shd w:val="clear" w:color="auto" w:fill="B4C6E7" w:themeFill="accent1" w:themeFillTint="66"/>
            <w:noWrap/>
            <w:tcMar>
              <w:top w:w="60" w:type="dxa"/>
              <w:left w:w="0" w:type="dxa"/>
              <w:bottom w:w="100" w:type="dxa"/>
              <w:right w:w="0" w:type="dxa"/>
            </w:tcMar>
            <w:vAlign w:val="bottom"/>
          </w:tcPr>
          <w:p w:rsidR="004B110F" w:rsidRDefault="001B78B5" w:rsidP="00460C2C">
            <w:pPr>
              <w:pStyle w:val="FinancialTableGroupFooter"/>
              <w:keepNext/>
              <w:keepLines/>
              <w:spacing w:after="280"/>
            </w:pPr>
            <w:r>
              <w:t>€71,985,501</w:t>
            </w:r>
          </w:p>
        </w:tc>
        <w:tc>
          <w:tcPr>
            <w:tcW w:w="0" w:type="auto"/>
            <w:tcBorders>
              <w:top w:val="nil"/>
              <w:left w:val="nil"/>
              <w:bottom w:val="single" w:sz="8" w:space="0" w:color="000000"/>
              <w:right w:val="nil"/>
              <w:tl2br w:val="nil"/>
              <w:tr2bl w:val="nil"/>
            </w:tcBorders>
            <w:shd w:val="clear" w:color="auto" w:fill="B4C6E7" w:themeFill="accent1" w:themeFillTint="66"/>
            <w:noWrap/>
            <w:tcMar>
              <w:top w:w="60" w:type="dxa"/>
              <w:left w:w="0" w:type="dxa"/>
              <w:bottom w:w="100" w:type="dxa"/>
              <w:right w:w="0" w:type="dxa"/>
            </w:tcMar>
            <w:vAlign w:val="bottom"/>
          </w:tcPr>
          <w:p w:rsidR="004B110F" w:rsidRDefault="001B78B5" w:rsidP="00460C2C">
            <w:pPr>
              <w:pStyle w:val="FinancialTableGroupFooter"/>
              <w:keepNext/>
              <w:keepLines/>
              <w:spacing w:after="280"/>
            </w:pPr>
            <w:r>
              <w:t>€149,614,255</w:t>
            </w:r>
          </w:p>
        </w:tc>
      </w:tr>
      <w:tr w:rsidR="0016590F" w:rsidTr="009370F1">
        <w:trPr>
          <w:cantSplit/>
          <w:trHeight w:hRule="exact" w:val="22"/>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r>
      <w:tr w:rsidR="0016590F" w:rsidTr="009370F1">
        <w:trPr>
          <w:cantSplit/>
          <w:trHeight w:val="231"/>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Item"/>
              <w:keepNext/>
              <w:keepLines/>
              <w:spacing w:after="280"/>
            </w:pPr>
            <w:r>
              <w:t>Gross Margin</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€12,556,099</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€30,764,320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€61,811,620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€119,717,419</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€271,001,461</w:t>
            </w:r>
          </w:p>
        </w:tc>
      </w:tr>
      <w:tr w:rsidR="0016590F" w:rsidTr="009370F1">
        <w:trPr>
          <w:cantSplit/>
          <w:trHeight w:val="277"/>
          <w:jc w:val="center"/>
        </w:trPr>
        <w:tc>
          <w:tcPr>
            <w:tcW w:w="0" w:type="auto"/>
            <w:tcBorders>
              <w:top w:val="nil"/>
              <w:left w:val="nil"/>
              <w:bottom w:val="single" w:sz="8" w:space="0" w:color="000000"/>
              <w:right w:val="nil"/>
              <w:tl2br w:val="nil"/>
              <w:tr2bl w:val="nil"/>
            </w:tcBorders>
            <w:shd w:val="clear" w:color="auto" w:fill="B4C6E7" w:themeFill="accent1" w:themeFillTint="66"/>
            <w:tcMar>
              <w:top w:w="60" w:type="dxa"/>
              <w:left w:w="0" w:type="dxa"/>
              <w:bottom w:w="100" w:type="dxa"/>
              <w:right w:w="0" w:type="dxa"/>
            </w:tcMar>
            <w:vAlign w:val="center"/>
          </w:tcPr>
          <w:p w:rsidR="004B110F" w:rsidRDefault="001B78B5" w:rsidP="00460C2C">
            <w:pPr>
              <w:pStyle w:val="FinancialTableGroupFooter"/>
              <w:keepNext/>
              <w:keepLines/>
              <w:spacing w:after="280"/>
            </w:pPr>
            <w:r>
              <w:t>Gross Margin %</w:t>
            </w:r>
          </w:p>
        </w:tc>
        <w:tc>
          <w:tcPr>
            <w:tcW w:w="0" w:type="auto"/>
            <w:tcBorders>
              <w:top w:val="nil"/>
              <w:left w:val="nil"/>
              <w:bottom w:val="single" w:sz="8" w:space="0" w:color="000000"/>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41%</w:t>
            </w:r>
          </w:p>
        </w:tc>
        <w:tc>
          <w:tcPr>
            <w:tcW w:w="0" w:type="auto"/>
            <w:tcBorders>
              <w:top w:val="nil"/>
              <w:left w:val="nil"/>
              <w:bottom w:val="single" w:sz="8" w:space="0" w:color="000000"/>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53%</w:t>
            </w:r>
          </w:p>
        </w:tc>
        <w:tc>
          <w:tcPr>
            <w:tcW w:w="0" w:type="auto"/>
            <w:tcBorders>
              <w:top w:val="nil"/>
              <w:left w:val="nil"/>
              <w:bottom w:val="single" w:sz="8" w:space="0" w:color="000000"/>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59%</w:t>
            </w:r>
          </w:p>
        </w:tc>
        <w:tc>
          <w:tcPr>
            <w:tcW w:w="0" w:type="auto"/>
            <w:tcBorders>
              <w:top w:val="nil"/>
              <w:left w:val="nil"/>
              <w:bottom w:val="single" w:sz="8" w:space="0" w:color="000000"/>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62%</w:t>
            </w:r>
          </w:p>
        </w:tc>
        <w:tc>
          <w:tcPr>
            <w:tcW w:w="0" w:type="auto"/>
            <w:tcBorders>
              <w:top w:val="nil"/>
              <w:left w:val="nil"/>
              <w:bottom w:val="single" w:sz="8" w:space="0" w:color="000000"/>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64%</w:t>
            </w:r>
          </w:p>
        </w:tc>
      </w:tr>
      <w:tr w:rsidR="0016590F" w:rsidTr="009370F1">
        <w:trPr>
          <w:cantSplit/>
          <w:trHeight w:val="277"/>
          <w:jc w:val="center"/>
        </w:trPr>
        <w:tc>
          <w:tcPr>
            <w:tcW w:w="0" w:type="auto"/>
            <w:tcBorders>
              <w:top w:val="nil"/>
              <w:left w:val="nil"/>
              <w:bottom w:val="nil"/>
              <w:right w:val="nil"/>
              <w:tl2br w:val="nil"/>
              <w:tr2bl w:val="nil"/>
            </w:tcBorders>
            <w:shd w:val="clear" w:color="auto" w:fill="FFD966" w:themeFill="accent4" w:themeFillTint="99"/>
            <w:tcMar>
              <w:top w:w="60" w:type="dxa"/>
              <w:left w:w="0" w:type="dxa"/>
              <w:bottom w:w="100" w:type="dxa"/>
              <w:right w:w="0" w:type="dxa"/>
            </w:tcMar>
            <w:vAlign w:val="center"/>
          </w:tcPr>
          <w:p w:rsidR="004B110F" w:rsidRDefault="001B78B5" w:rsidP="00460C2C">
            <w:pPr>
              <w:pStyle w:val="FinancialTableGroupHeader"/>
              <w:keepNext/>
              <w:keepLines/>
              <w:spacing w:after="280"/>
            </w:pPr>
            <w:r>
              <w:t>Operating Expenses</w:t>
            </w:r>
          </w:p>
        </w:tc>
        <w:tc>
          <w:tcPr>
            <w:tcW w:w="0" w:type="auto"/>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4B110F" w:rsidP="00460C2C">
            <w:pPr>
              <w:pStyle w:val="FinancialTableGroupHeader"/>
              <w:keepNext/>
              <w:keepLines/>
              <w:spacing w:after="280"/>
            </w:pPr>
          </w:p>
        </w:tc>
        <w:tc>
          <w:tcPr>
            <w:tcW w:w="0" w:type="auto"/>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4B110F" w:rsidP="00460C2C">
            <w:pPr>
              <w:pStyle w:val="FinancialTableGroupHeader"/>
              <w:keepNext/>
              <w:keepLines/>
              <w:spacing w:after="280"/>
            </w:pPr>
          </w:p>
        </w:tc>
        <w:tc>
          <w:tcPr>
            <w:tcW w:w="0" w:type="auto"/>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4B110F" w:rsidP="00460C2C">
            <w:pPr>
              <w:pStyle w:val="FinancialTableGroupHeader"/>
              <w:keepNext/>
              <w:keepLines/>
              <w:spacing w:after="280"/>
            </w:pPr>
          </w:p>
        </w:tc>
        <w:tc>
          <w:tcPr>
            <w:tcW w:w="0" w:type="auto"/>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4B110F" w:rsidP="00460C2C">
            <w:pPr>
              <w:pStyle w:val="FinancialTableGroupHeader"/>
              <w:keepNext/>
              <w:keepLines/>
              <w:spacing w:after="280"/>
            </w:pPr>
          </w:p>
        </w:tc>
        <w:tc>
          <w:tcPr>
            <w:tcW w:w="0" w:type="auto"/>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4B110F" w:rsidP="00460C2C">
            <w:pPr>
              <w:pStyle w:val="FinancialTableGroupHeader"/>
              <w:keepNext/>
              <w:keepLines/>
              <w:spacing w:after="280"/>
            </w:pPr>
          </w:p>
        </w:tc>
      </w:tr>
      <w:tr w:rsidR="0016590F" w:rsidTr="009370F1">
        <w:trPr>
          <w:cantSplit/>
          <w:trHeight w:val="231"/>
          <w:jc w:val="center"/>
        </w:trPr>
        <w:tc>
          <w:tcPr>
            <w:tcW w:w="0" w:type="auto"/>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4B110F" w:rsidRDefault="001B78B5" w:rsidP="00460C2C">
            <w:pPr>
              <w:pStyle w:val="FinancialTableGroupItem"/>
              <w:keepNext/>
              <w:keepLines/>
              <w:spacing w:after="280"/>
            </w:pPr>
            <w:r>
              <w:t>Salaries &amp; Wages</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€1,443,000</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€2,712,000</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€3,997,200</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€6,151,584</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€9,135,618</w:t>
            </w:r>
          </w:p>
        </w:tc>
      </w:tr>
      <w:tr w:rsidR="0016590F" w:rsidTr="009370F1">
        <w:trPr>
          <w:cantSplit/>
          <w:trHeight w:val="231"/>
          <w:jc w:val="center"/>
        </w:trPr>
        <w:tc>
          <w:tcPr>
            <w:tcW w:w="0" w:type="auto"/>
            <w:tcBorders>
              <w:top w:val="nil"/>
              <w:left w:val="nil"/>
              <w:bottom w:val="nil"/>
              <w:right w:val="nil"/>
              <w:tl2br w:val="nil"/>
              <w:tr2bl w:val="nil"/>
            </w:tcBorders>
            <w:shd w:val="clear" w:color="auto" w:fill="D0CECE" w:themeFill="background2" w:themeFillShade="E6"/>
            <w:tcMar>
              <w:top w:w="60" w:type="dxa"/>
              <w:left w:w="240" w:type="dxa"/>
              <w:bottom w:w="100" w:type="dxa"/>
              <w:right w:w="0" w:type="dxa"/>
            </w:tcMar>
            <w:vAlign w:val="center"/>
          </w:tcPr>
          <w:p w:rsidR="004B110F" w:rsidRDefault="001B78B5" w:rsidP="00460C2C">
            <w:pPr>
              <w:pStyle w:val="FinancialTableGroupItem"/>
              <w:keepNext/>
              <w:keepLines/>
              <w:spacing w:after="280"/>
            </w:pPr>
            <w:r>
              <w:t>Employee Related Expenses</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€152,100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€302,040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€469,116</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€762,260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€1,174,894</w:t>
            </w:r>
          </w:p>
        </w:tc>
      </w:tr>
      <w:tr w:rsidR="0016590F" w:rsidTr="009370F1">
        <w:trPr>
          <w:cantSplit/>
          <w:trHeight w:val="254"/>
          <w:jc w:val="center"/>
        </w:trPr>
        <w:tc>
          <w:tcPr>
            <w:tcW w:w="0" w:type="auto"/>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4B110F" w:rsidRDefault="001B78B5" w:rsidP="00460C2C">
            <w:pPr>
              <w:pStyle w:val="FinancialTableGroupItem"/>
              <w:keepNext/>
              <w:keepLines/>
              <w:spacing w:after="280"/>
            </w:pPr>
            <w:r>
              <w:t>OFFICES</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€99,000</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€192,000</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€240,000</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€300,000</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€300,000</w:t>
            </w:r>
          </w:p>
        </w:tc>
      </w:tr>
      <w:tr w:rsidR="0016590F" w:rsidTr="009370F1">
        <w:trPr>
          <w:cantSplit/>
          <w:trHeight w:val="231"/>
          <w:jc w:val="center"/>
        </w:trPr>
        <w:tc>
          <w:tcPr>
            <w:tcW w:w="0" w:type="auto"/>
            <w:tcBorders>
              <w:top w:val="nil"/>
              <w:left w:val="nil"/>
              <w:bottom w:val="nil"/>
              <w:right w:val="nil"/>
              <w:tl2br w:val="nil"/>
              <w:tr2bl w:val="nil"/>
            </w:tcBorders>
            <w:shd w:val="clear" w:color="auto" w:fill="D0CECE" w:themeFill="background2" w:themeFillShade="E6"/>
            <w:tcMar>
              <w:top w:w="60" w:type="dxa"/>
              <w:left w:w="240" w:type="dxa"/>
              <w:bottom w:w="100" w:type="dxa"/>
              <w:right w:w="0" w:type="dxa"/>
            </w:tcMar>
            <w:vAlign w:val="center"/>
          </w:tcPr>
          <w:p w:rsidR="004B110F" w:rsidRDefault="001B78B5" w:rsidP="00460C2C">
            <w:pPr>
              <w:pStyle w:val="FinancialTableGroupItem"/>
              <w:keepNext/>
              <w:keepLines/>
              <w:spacing w:after="280"/>
            </w:pPr>
            <w:r>
              <w:t>Bills</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€31,400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€48,000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€54,000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€60,000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€72,000</w:t>
            </w:r>
          </w:p>
        </w:tc>
      </w:tr>
      <w:tr w:rsidR="0016590F" w:rsidTr="009370F1">
        <w:trPr>
          <w:cantSplit/>
          <w:trHeight w:val="254"/>
          <w:jc w:val="center"/>
        </w:trPr>
        <w:tc>
          <w:tcPr>
            <w:tcW w:w="0" w:type="auto"/>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4B110F" w:rsidRDefault="001B78B5" w:rsidP="00460C2C">
            <w:pPr>
              <w:pStyle w:val="FinancialTableGroupItem"/>
              <w:keepNext/>
              <w:keepLines/>
              <w:spacing w:after="280"/>
            </w:pPr>
            <w:r>
              <w:t>WEB Servers</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€57,000</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€96,000</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€144,000</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€192,000</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€240,000</w:t>
            </w:r>
          </w:p>
        </w:tc>
      </w:tr>
      <w:tr w:rsidR="0016590F" w:rsidTr="009370F1">
        <w:trPr>
          <w:cantSplit/>
          <w:trHeight w:val="231"/>
          <w:jc w:val="center"/>
        </w:trPr>
        <w:tc>
          <w:tcPr>
            <w:tcW w:w="0" w:type="auto"/>
            <w:tcBorders>
              <w:top w:val="nil"/>
              <w:left w:val="nil"/>
              <w:bottom w:val="nil"/>
              <w:right w:val="nil"/>
              <w:tl2br w:val="nil"/>
              <w:tr2bl w:val="nil"/>
            </w:tcBorders>
            <w:shd w:val="clear" w:color="auto" w:fill="D0CECE" w:themeFill="background2" w:themeFillShade="E6"/>
            <w:tcMar>
              <w:top w:w="60" w:type="dxa"/>
              <w:left w:w="240" w:type="dxa"/>
              <w:bottom w:w="100" w:type="dxa"/>
              <w:right w:w="0" w:type="dxa"/>
            </w:tcMar>
            <w:vAlign w:val="center"/>
          </w:tcPr>
          <w:p w:rsidR="004B110F" w:rsidRDefault="001B78B5" w:rsidP="00460C2C">
            <w:pPr>
              <w:pStyle w:val="FinancialTableGroupItem"/>
              <w:keepNext/>
              <w:keepLines/>
              <w:spacing w:after="280"/>
            </w:pPr>
            <w:r>
              <w:t>Accountancy and KYC and AML</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€54,000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€100,000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€140,000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€160,000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€200,000</w:t>
            </w:r>
          </w:p>
        </w:tc>
      </w:tr>
      <w:tr w:rsidR="0016590F" w:rsidTr="009370F1">
        <w:trPr>
          <w:cantSplit/>
          <w:trHeight w:val="254"/>
          <w:jc w:val="center"/>
        </w:trPr>
        <w:tc>
          <w:tcPr>
            <w:tcW w:w="0" w:type="auto"/>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4B110F" w:rsidRDefault="001B78B5" w:rsidP="00460C2C">
            <w:pPr>
              <w:pStyle w:val="FinancialTableGroupItem"/>
              <w:keepNext/>
              <w:keepLines/>
              <w:spacing w:after="280"/>
            </w:pPr>
            <w:r>
              <w:t>Transfers and General exp.</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€52,000</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€108,000</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€144,000</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€160,000</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€180,000</w:t>
            </w:r>
          </w:p>
        </w:tc>
      </w:tr>
      <w:tr w:rsidR="0016590F" w:rsidTr="009370F1">
        <w:trPr>
          <w:cantSplit/>
          <w:trHeight w:val="231"/>
          <w:jc w:val="center"/>
        </w:trPr>
        <w:tc>
          <w:tcPr>
            <w:tcW w:w="0" w:type="auto"/>
            <w:tcBorders>
              <w:top w:val="nil"/>
              <w:left w:val="nil"/>
              <w:bottom w:val="nil"/>
              <w:right w:val="nil"/>
              <w:tl2br w:val="nil"/>
              <w:tr2bl w:val="nil"/>
            </w:tcBorders>
            <w:shd w:val="clear" w:color="auto" w:fill="D0CECE" w:themeFill="background2" w:themeFillShade="E6"/>
            <w:tcMar>
              <w:top w:w="60" w:type="dxa"/>
              <w:left w:w="240" w:type="dxa"/>
              <w:bottom w:w="100" w:type="dxa"/>
              <w:right w:w="0" w:type="dxa"/>
            </w:tcMar>
            <w:vAlign w:val="center"/>
          </w:tcPr>
          <w:p w:rsidR="004B110F" w:rsidRDefault="001B78B5" w:rsidP="00460C2C">
            <w:pPr>
              <w:pStyle w:val="FinancialTableGroupItem"/>
              <w:keepNext/>
              <w:keepLines/>
              <w:spacing w:after="280"/>
            </w:pPr>
            <w:r>
              <w:t>Cars and Fringes</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€39,200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€48,000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€60,000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€80,000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€100,000</w:t>
            </w:r>
          </w:p>
        </w:tc>
      </w:tr>
      <w:tr w:rsidR="0016590F" w:rsidTr="009370F1">
        <w:trPr>
          <w:cantSplit/>
          <w:trHeight w:val="254"/>
          <w:jc w:val="center"/>
        </w:trPr>
        <w:tc>
          <w:tcPr>
            <w:tcW w:w="0" w:type="auto"/>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4B110F" w:rsidRDefault="001B78B5" w:rsidP="00460C2C">
            <w:pPr>
              <w:pStyle w:val="FinancialTableGroupItem"/>
              <w:keepNext/>
              <w:keepLines/>
              <w:spacing w:after="280"/>
            </w:pPr>
            <w:r>
              <w:t>MARKETING</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€1,600,000</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€4,400,000</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€7,700,000</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€12,500,000</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€19,500,000</w:t>
            </w:r>
          </w:p>
        </w:tc>
      </w:tr>
      <w:tr w:rsidR="0016590F" w:rsidTr="009370F1">
        <w:trPr>
          <w:cantSplit/>
          <w:trHeight w:val="231"/>
          <w:jc w:val="center"/>
        </w:trPr>
        <w:tc>
          <w:tcPr>
            <w:tcW w:w="0" w:type="auto"/>
            <w:tcBorders>
              <w:top w:val="nil"/>
              <w:left w:val="nil"/>
              <w:bottom w:val="nil"/>
              <w:right w:val="nil"/>
              <w:tl2br w:val="nil"/>
              <w:tr2bl w:val="nil"/>
            </w:tcBorders>
            <w:shd w:val="clear" w:color="auto" w:fill="D0CECE" w:themeFill="background2" w:themeFillShade="E6"/>
            <w:tcMar>
              <w:top w:w="60" w:type="dxa"/>
              <w:left w:w="240" w:type="dxa"/>
              <w:bottom w:w="100" w:type="dxa"/>
              <w:right w:w="0" w:type="dxa"/>
            </w:tcMar>
            <w:vAlign w:val="center"/>
          </w:tcPr>
          <w:p w:rsidR="004B110F" w:rsidRDefault="001B78B5" w:rsidP="00460C2C">
            <w:pPr>
              <w:pStyle w:val="FinancialTableGroupItem"/>
              <w:keepNext/>
              <w:keepLines/>
              <w:spacing w:after="280"/>
            </w:pPr>
            <w:r>
              <w:t>Customer Service and Activation</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€1,200,000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€2,400,000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€4,000,000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€8,000,000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€12,000,000</w:t>
            </w:r>
          </w:p>
        </w:tc>
      </w:tr>
      <w:tr w:rsidR="0016590F" w:rsidTr="009370F1">
        <w:trPr>
          <w:cantSplit/>
          <w:trHeight w:val="277"/>
          <w:jc w:val="center"/>
        </w:trPr>
        <w:tc>
          <w:tcPr>
            <w:tcW w:w="0" w:type="auto"/>
            <w:tcBorders>
              <w:top w:val="nil"/>
              <w:left w:val="nil"/>
              <w:bottom w:val="single" w:sz="8" w:space="0" w:color="000000"/>
              <w:right w:val="nil"/>
              <w:tl2br w:val="nil"/>
              <w:tr2bl w:val="nil"/>
            </w:tcBorders>
            <w:shd w:val="clear" w:color="auto" w:fill="FFE599" w:themeFill="accent4" w:themeFillTint="66"/>
            <w:tcMar>
              <w:top w:w="60" w:type="dxa"/>
              <w:left w:w="0" w:type="dxa"/>
              <w:bottom w:w="100" w:type="dxa"/>
              <w:right w:w="0" w:type="dxa"/>
            </w:tcMar>
            <w:vAlign w:val="center"/>
          </w:tcPr>
          <w:p w:rsidR="004B110F" w:rsidRDefault="001B78B5" w:rsidP="00460C2C">
            <w:pPr>
              <w:pStyle w:val="FinancialTableGroupFooter"/>
              <w:keepNext/>
              <w:keepLines/>
              <w:spacing w:after="280"/>
            </w:pPr>
            <w:r>
              <w:t>Total Operating Expenses</w:t>
            </w:r>
          </w:p>
        </w:tc>
        <w:tc>
          <w:tcPr>
            <w:tcW w:w="0" w:type="auto"/>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€4,727,700</w:t>
            </w:r>
          </w:p>
        </w:tc>
        <w:tc>
          <w:tcPr>
            <w:tcW w:w="0" w:type="auto"/>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€10,406,040</w:t>
            </w:r>
          </w:p>
        </w:tc>
        <w:tc>
          <w:tcPr>
            <w:tcW w:w="0" w:type="auto"/>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€16,948,316</w:t>
            </w:r>
          </w:p>
        </w:tc>
        <w:tc>
          <w:tcPr>
            <w:tcW w:w="0" w:type="auto"/>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€28,365,844</w:t>
            </w:r>
          </w:p>
        </w:tc>
        <w:tc>
          <w:tcPr>
            <w:tcW w:w="0" w:type="auto"/>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€42,902,512</w:t>
            </w:r>
          </w:p>
        </w:tc>
      </w:tr>
      <w:tr w:rsidR="0016590F" w:rsidTr="009370F1">
        <w:trPr>
          <w:cantSplit/>
          <w:trHeight w:hRule="exact" w:val="22"/>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r>
      <w:tr w:rsidR="0016590F" w:rsidTr="009370F1">
        <w:trPr>
          <w:cantSplit/>
          <w:trHeight w:val="254"/>
          <w:jc w:val="center"/>
        </w:trPr>
        <w:tc>
          <w:tcPr>
            <w:tcW w:w="0" w:type="auto"/>
            <w:tcBorders>
              <w:top w:val="nil"/>
              <w:left w:val="nil"/>
              <w:bottom w:val="single" w:sz="8" w:space="0" w:color="000000"/>
              <w:right w:val="nil"/>
              <w:tl2br w:val="nil"/>
              <w:tr2bl w:val="nil"/>
            </w:tcBorders>
            <w:shd w:val="clear" w:color="auto" w:fill="B4C6E7" w:themeFill="accent1" w:themeFillTint="66"/>
            <w:tcMar>
              <w:top w:w="60" w:type="dxa"/>
              <w:left w:w="0" w:type="dxa"/>
              <w:bottom w:w="100" w:type="dxa"/>
              <w:right w:w="0" w:type="dxa"/>
            </w:tcMar>
            <w:vAlign w:val="center"/>
          </w:tcPr>
          <w:p w:rsidR="004B110F" w:rsidRDefault="001B78B5" w:rsidP="00460C2C">
            <w:pPr>
              <w:pStyle w:val="FinancialTableGroupFooter"/>
              <w:keepNext/>
              <w:keepLines/>
              <w:spacing w:after="280"/>
            </w:pPr>
            <w:r>
              <w:t>Operating Income</w:t>
            </w:r>
          </w:p>
        </w:tc>
        <w:tc>
          <w:tcPr>
            <w:tcW w:w="0" w:type="auto"/>
            <w:tcBorders>
              <w:top w:val="nil"/>
              <w:left w:val="nil"/>
              <w:bottom w:val="single" w:sz="8" w:space="0" w:color="000000"/>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€7,828,399</w:t>
            </w:r>
          </w:p>
        </w:tc>
        <w:tc>
          <w:tcPr>
            <w:tcW w:w="0" w:type="auto"/>
            <w:tcBorders>
              <w:top w:val="nil"/>
              <w:left w:val="nil"/>
              <w:bottom w:val="single" w:sz="8" w:space="0" w:color="000000"/>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€20,358,279</w:t>
            </w:r>
          </w:p>
        </w:tc>
        <w:tc>
          <w:tcPr>
            <w:tcW w:w="0" w:type="auto"/>
            <w:tcBorders>
              <w:top w:val="nil"/>
              <w:left w:val="nil"/>
              <w:bottom w:val="single" w:sz="8" w:space="0" w:color="000000"/>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€44,863,304</w:t>
            </w:r>
          </w:p>
        </w:tc>
        <w:tc>
          <w:tcPr>
            <w:tcW w:w="0" w:type="auto"/>
            <w:tcBorders>
              <w:top w:val="nil"/>
              <w:left w:val="nil"/>
              <w:bottom w:val="single" w:sz="8" w:space="0" w:color="000000"/>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€91,351,575</w:t>
            </w:r>
          </w:p>
        </w:tc>
        <w:tc>
          <w:tcPr>
            <w:tcW w:w="0" w:type="auto"/>
            <w:tcBorders>
              <w:top w:val="nil"/>
              <w:left w:val="nil"/>
              <w:bottom w:val="single" w:sz="8" w:space="0" w:color="000000"/>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€228,098,949</w:t>
            </w:r>
          </w:p>
        </w:tc>
      </w:tr>
      <w:tr w:rsidR="0016590F" w:rsidTr="009370F1">
        <w:trPr>
          <w:cantSplit/>
          <w:trHeight w:hRule="exact" w:val="22"/>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r>
      <w:tr w:rsidR="0016590F" w:rsidTr="009370F1">
        <w:trPr>
          <w:cantSplit/>
          <w:trHeight w:val="254"/>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Item"/>
              <w:keepNext/>
              <w:keepLines/>
              <w:spacing w:after="280"/>
            </w:pPr>
            <w:r>
              <w:t>Interest Incurred</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r>
      <w:tr w:rsidR="0016590F" w:rsidTr="009370F1">
        <w:trPr>
          <w:cantSplit/>
          <w:trHeight w:val="231"/>
          <w:jc w:val="center"/>
        </w:trPr>
        <w:tc>
          <w:tcPr>
            <w:tcW w:w="0" w:type="auto"/>
            <w:tcBorders>
              <w:top w:val="nil"/>
              <w:left w:val="nil"/>
              <w:bottom w:val="nil"/>
              <w:right w:val="nil"/>
              <w:tl2br w:val="nil"/>
              <w:tr2bl w:val="nil"/>
            </w:tcBorders>
            <w:shd w:val="clear" w:color="auto" w:fill="B4C6E7" w:themeFill="accent1" w:themeFillTint="66"/>
            <w:tcMar>
              <w:top w:w="60" w:type="dxa"/>
              <w:left w:w="0" w:type="dxa"/>
              <w:bottom w:w="100" w:type="dxa"/>
              <w:right w:w="0" w:type="dxa"/>
            </w:tcMar>
            <w:vAlign w:val="center"/>
          </w:tcPr>
          <w:p w:rsidR="004B110F" w:rsidRDefault="001B78B5" w:rsidP="00460C2C">
            <w:pPr>
              <w:pStyle w:val="FinancialTableItem"/>
              <w:keepNext/>
              <w:keepLines/>
              <w:spacing w:after="280"/>
            </w:pPr>
            <w:r>
              <w:t>Depreciation and Amortization</w:t>
            </w:r>
          </w:p>
        </w:tc>
        <w:tc>
          <w:tcPr>
            <w:tcW w:w="0" w:type="auto"/>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Item"/>
              <w:keepNext/>
              <w:keepLines/>
              <w:spacing w:after="280"/>
            </w:pPr>
            <w:r>
              <w:t>€504,651</w:t>
            </w:r>
          </w:p>
        </w:tc>
        <w:tc>
          <w:tcPr>
            <w:tcW w:w="0" w:type="auto"/>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Item"/>
              <w:keepNext/>
              <w:keepLines/>
              <w:spacing w:after="280"/>
            </w:pPr>
            <w:r>
              <w:t>€545,873</w:t>
            </w:r>
          </w:p>
        </w:tc>
        <w:tc>
          <w:tcPr>
            <w:tcW w:w="0" w:type="auto"/>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Item"/>
              <w:keepNext/>
              <w:keepLines/>
              <w:spacing w:after="280"/>
            </w:pPr>
            <w:r>
              <w:t>€618,161</w:t>
            </w:r>
          </w:p>
        </w:tc>
        <w:tc>
          <w:tcPr>
            <w:tcW w:w="0" w:type="auto"/>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Item"/>
              <w:keepNext/>
              <w:keepLines/>
              <w:spacing w:after="280"/>
            </w:pPr>
            <w:r>
              <w:t>€676,579</w:t>
            </w:r>
          </w:p>
        </w:tc>
        <w:tc>
          <w:tcPr>
            <w:tcW w:w="0" w:type="auto"/>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Item"/>
              <w:keepNext/>
              <w:keepLines/>
              <w:spacing w:after="280"/>
            </w:pPr>
            <w:r>
              <w:t>€750,849</w:t>
            </w:r>
          </w:p>
        </w:tc>
      </w:tr>
      <w:tr w:rsidR="0016590F" w:rsidTr="009370F1">
        <w:trPr>
          <w:cantSplit/>
          <w:trHeight w:val="254"/>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Item"/>
              <w:keepNext/>
              <w:keepLines/>
              <w:spacing w:after="280"/>
            </w:pPr>
            <w:r>
              <w:t>Income Taxes</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€2,563,312</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€6,934,342</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€15,485,800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€31,736,249</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€79,571,835</w:t>
            </w:r>
          </w:p>
        </w:tc>
      </w:tr>
      <w:tr w:rsidR="0016590F" w:rsidTr="009370F1">
        <w:trPr>
          <w:cantSplit/>
          <w:trHeight w:val="254"/>
          <w:jc w:val="center"/>
        </w:trPr>
        <w:tc>
          <w:tcPr>
            <w:tcW w:w="0" w:type="auto"/>
            <w:tcBorders>
              <w:top w:val="nil"/>
              <w:left w:val="nil"/>
              <w:bottom w:val="nil"/>
              <w:right w:val="nil"/>
              <w:tl2br w:val="nil"/>
              <w:tr2bl w:val="nil"/>
            </w:tcBorders>
            <w:shd w:val="clear" w:color="auto" w:fill="FFE599" w:themeFill="accent4" w:themeFillTint="66"/>
            <w:tcMar>
              <w:top w:w="60" w:type="dxa"/>
              <w:left w:w="0" w:type="dxa"/>
              <w:bottom w:w="100" w:type="dxa"/>
              <w:right w:w="0" w:type="dxa"/>
            </w:tcMar>
            <w:vAlign w:val="center"/>
          </w:tcPr>
          <w:p w:rsidR="004B110F" w:rsidRDefault="001B78B5" w:rsidP="00460C2C">
            <w:pPr>
              <w:pStyle w:val="FinancialTableGroupHeader"/>
              <w:keepNext/>
              <w:keepLines/>
              <w:spacing w:after="280"/>
            </w:pPr>
            <w:r>
              <w:t>Total Expenses</w:t>
            </w:r>
          </w:p>
        </w:tc>
        <w:tc>
          <w:tcPr>
            <w:tcW w:w="0" w:type="auto"/>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Header"/>
              <w:keepNext/>
              <w:keepLines/>
              <w:spacing w:after="280"/>
            </w:pPr>
            <w:r>
              <w:t>€25,845,567</w:t>
            </w:r>
          </w:p>
        </w:tc>
        <w:tc>
          <w:tcPr>
            <w:tcW w:w="0" w:type="auto"/>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Header"/>
              <w:keepNext/>
              <w:keepLines/>
              <w:spacing w:after="280"/>
            </w:pPr>
            <w:r>
              <w:t>€44,631,841</w:t>
            </w:r>
          </w:p>
        </w:tc>
        <w:tc>
          <w:tcPr>
            <w:tcW w:w="0" w:type="auto"/>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Header"/>
              <w:keepNext/>
              <w:keepLines/>
              <w:spacing w:after="280"/>
            </w:pPr>
            <w:r>
              <w:t>€75,158,495</w:t>
            </w:r>
          </w:p>
        </w:tc>
        <w:tc>
          <w:tcPr>
            <w:tcW w:w="0" w:type="auto"/>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Header"/>
              <w:keepNext/>
              <w:keepLines/>
              <w:spacing w:after="280"/>
            </w:pPr>
            <w:r>
              <w:t>€132,764,174</w:t>
            </w:r>
          </w:p>
        </w:tc>
        <w:tc>
          <w:tcPr>
            <w:tcW w:w="0" w:type="auto"/>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Header"/>
              <w:keepNext/>
              <w:keepLines/>
              <w:spacing w:after="280"/>
            </w:pPr>
            <w:r>
              <w:t>€272,839,452</w:t>
            </w:r>
          </w:p>
        </w:tc>
      </w:tr>
      <w:tr w:rsidR="0016590F" w:rsidTr="009370F1">
        <w:trPr>
          <w:cantSplit/>
          <w:trHeight w:val="277"/>
          <w:jc w:val="center"/>
        </w:trPr>
        <w:tc>
          <w:tcPr>
            <w:tcW w:w="0" w:type="auto"/>
            <w:tcBorders>
              <w:top w:val="nil"/>
              <w:left w:val="nil"/>
              <w:bottom w:val="nil"/>
              <w:right w:val="nil"/>
              <w:tl2br w:val="nil"/>
              <w:tr2bl w:val="nil"/>
            </w:tcBorders>
            <w:shd w:val="clear" w:color="auto" w:fill="C5E0B3" w:themeFill="accent6" w:themeFillTint="66"/>
            <w:tcMar>
              <w:top w:w="60" w:type="dxa"/>
              <w:left w:w="0" w:type="dxa"/>
              <w:bottom w:w="100" w:type="dxa"/>
              <w:right w:w="0" w:type="dxa"/>
            </w:tcMar>
            <w:vAlign w:val="center"/>
          </w:tcPr>
          <w:p w:rsidR="004B110F" w:rsidRDefault="001B78B5" w:rsidP="00460C2C">
            <w:pPr>
              <w:pStyle w:val="FinancialTableGroupHeader"/>
              <w:keepNext/>
              <w:keepLines/>
              <w:spacing w:after="280"/>
            </w:pPr>
            <w:r>
              <w:t>Net Profit</w:t>
            </w:r>
          </w:p>
        </w:tc>
        <w:tc>
          <w:tcPr>
            <w:tcW w:w="0" w:type="auto"/>
            <w:tcBorders>
              <w:top w:val="nil"/>
              <w:left w:val="nil"/>
              <w:bottom w:val="nil"/>
              <w:right w:val="nil"/>
              <w:tl2br w:val="nil"/>
              <w:tr2bl w:val="nil"/>
            </w:tcBorders>
            <w:shd w:val="clear" w:color="auto" w:fill="C5E0B3" w:themeFill="accent6" w:themeFillTint="66"/>
            <w:noWrap/>
            <w:tcMar>
              <w:top w:w="60" w:type="dxa"/>
              <w:left w:w="0" w:type="dxa"/>
              <w:bottom w:w="100" w:type="dxa"/>
              <w:right w:w="0" w:type="dxa"/>
            </w:tcMar>
            <w:vAlign w:val="center"/>
          </w:tcPr>
          <w:p w:rsidR="004B110F" w:rsidRDefault="001B78B5" w:rsidP="00460C2C">
            <w:pPr>
              <w:pStyle w:val="FinancialTableGroupHeader"/>
              <w:keepNext/>
              <w:keepLines/>
              <w:spacing w:after="280"/>
            </w:pPr>
            <w:r>
              <w:t>€4,760,436</w:t>
            </w:r>
          </w:p>
        </w:tc>
        <w:tc>
          <w:tcPr>
            <w:tcW w:w="0" w:type="auto"/>
            <w:tcBorders>
              <w:top w:val="nil"/>
              <w:left w:val="nil"/>
              <w:bottom w:val="nil"/>
              <w:right w:val="nil"/>
              <w:tl2br w:val="nil"/>
              <w:tr2bl w:val="nil"/>
            </w:tcBorders>
            <w:shd w:val="clear" w:color="auto" w:fill="C5E0B3" w:themeFill="accent6" w:themeFillTint="66"/>
            <w:noWrap/>
            <w:tcMar>
              <w:top w:w="60" w:type="dxa"/>
              <w:left w:w="0" w:type="dxa"/>
              <w:bottom w:w="100" w:type="dxa"/>
              <w:right w:w="0" w:type="dxa"/>
            </w:tcMar>
            <w:vAlign w:val="center"/>
          </w:tcPr>
          <w:p w:rsidR="004B110F" w:rsidRDefault="001B78B5" w:rsidP="00460C2C">
            <w:pPr>
              <w:pStyle w:val="FinancialTableGroupHeader"/>
              <w:keepNext/>
              <w:keepLines/>
              <w:spacing w:after="280"/>
            </w:pPr>
            <w:r>
              <w:t>€12,878,064</w:t>
            </w:r>
          </w:p>
        </w:tc>
        <w:tc>
          <w:tcPr>
            <w:tcW w:w="0" w:type="auto"/>
            <w:tcBorders>
              <w:top w:val="nil"/>
              <w:left w:val="nil"/>
              <w:bottom w:val="nil"/>
              <w:right w:val="nil"/>
              <w:tl2br w:val="nil"/>
              <w:tr2bl w:val="nil"/>
            </w:tcBorders>
            <w:shd w:val="clear" w:color="auto" w:fill="C5E0B3" w:themeFill="accent6" w:themeFillTint="66"/>
            <w:noWrap/>
            <w:tcMar>
              <w:top w:w="60" w:type="dxa"/>
              <w:left w:w="0" w:type="dxa"/>
              <w:bottom w:w="100" w:type="dxa"/>
              <w:right w:w="0" w:type="dxa"/>
            </w:tcMar>
            <w:vAlign w:val="center"/>
          </w:tcPr>
          <w:p w:rsidR="004B110F" w:rsidRDefault="001B78B5" w:rsidP="00460C2C">
            <w:pPr>
              <w:pStyle w:val="FinancialTableGroupHeader"/>
              <w:keepNext/>
              <w:keepLines/>
              <w:spacing w:after="280"/>
            </w:pPr>
            <w:r>
              <w:t>€28,759,344</w:t>
            </w:r>
          </w:p>
        </w:tc>
        <w:tc>
          <w:tcPr>
            <w:tcW w:w="0" w:type="auto"/>
            <w:tcBorders>
              <w:top w:val="nil"/>
              <w:left w:val="nil"/>
              <w:bottom w:val="nil"/>
              <w:right w:val="nil"/>
              <w:tl2br w:val="nil"/>
              <w:tr2bl w:val="nil"/>
            </w:tcBorders>
            <w:shd w:val="clear" w:color="auto" w:fill="C5E0B3" w:themeFill="accent6" w:themeFillTint="66"/>
            <w:noWrap/>
            <w:tcMar>
              <w:top w:w="60" w:type="dxa"/>
              <w:left w:w="0" w:type="dxa"/>
              <w:bottom w:w="100" w:type="dxa"/>
              <w:right w:w="0" w:type="dxa"/>
            </w:tcMar>
            <w:vAlign w:val="center"/>
          </w:tcPr>
          <w:p w:rsidR="004B110F" w:rsidRDefault="001B78B5" w:rsidP="00460C2C">
            <w:pPr>
              <w:pStyle w:val="FinancialTableGroupHeader"/>
              <w:keepNext/>
              <w:keepLines/>
              <w:spacing w:after="280"/>
            </w:pPr>
            <w:r>
              <w:t>€58,938,746</w:t>
            </w:r>
          </w:p>
        </w:tc>
        <w:tc>
          <w:tcPr>
            <w:tcW w:w="0" w:type="auto"/>
            <w:tcBorders>
              <w:top w:val="nil"/>
              <w:left w:val="nil"/>
              <w:bottom w:val="nil"/>
              <w:right w:val="nil"/>
              <w:tl2br w:val="nil"/>
              <w:tr2bl w:val="nil"/>
            </w:tcBorders>
            <w:shd w:val="clear" w:color="auto" w:fill="C5E0B3" w:themeFill="accent6" w:themeFillTint="66"/>
            <w:noWrap/>
            <w:tcMar>
              <w:top w:w="60" w:type="dxa"/>
              <w:left w:w="0" w:type="dxa"/>
              <w:bottom w:w="100" w:type="dxa"/>
              <w:right w:w="0" w:type="dxa"/>
            </w:tcMar>
            <w:vAlign w:val="center"/>
          </w:tcPr>
          <w:p w:rsidR="004B110F" w:rsidRDefault="001B78B5" w:rsidP="00460C2C">
            <w:pPr>
              <w:pStyle w:val="FinancialTableGroupHeader"/>
              <w:keepNext/>
              <w:keepLines/>
              <w:spacing w:after="280"/>
            </w:pPr>
            <w:r>
              <w:t>€147,776,265</w:t>
            </w:r>
          </w:p>
        </w:tc>
      </w:tr>
      <w:tr w:rsidR="0016590F" w:rsidTr="009370F1">
        <w:trPr>
          <w:cantSplit/>
          <w:trHeight w:val="254"/>
          <w:jc w:val="center"/>
        </w:trPr>
        <w:tc>
          <w:tcPr>
            <w:tcW w:w="0" w:type="auto"/>
            <w:tcBorders>
              <w:top w:val="nil"/>
              <w:left w:val="nil"/>
              <w:bottom w:val="single" w:sz="8" w:space="0" w:color="000000"/>
              <w:right w:val="nil"/>
              <w:tl2br w:val="nil"/>
              <w:tr2bl w:val="nil"/>
            </w:tcBorders>
            <w:shd w:val="clear" w:color="auto" w:fill="ACB9CA" w:themeFill="text2" w:themeFillTint="66"/>
            <w:tcMar>
              <w:top w:w="60" w:type="dxa"/>
              <w:left w:w="0" w:type="dxa"/>
              <w:bottom w:w="100" w:type="dxa"/>
              <w:right w:w="0" w:type="dxa"/>
            </w:tcMar>
            <w:vAlign w:val="center"/>
          </w:tcPr>
          <w:p w:rsidR="004B110F" w:rsidRDefault="001B78B5" w:rsidP="00460C2C">
            <w:pPr>
              <w:pStyle w:val="FinancialTableGroupFooter"/>
              <w:keepNext/>
              <w:keepLines/>
              <w:spacing w:after="280"/>
            </w:pPr>
            <w:r>
              <w:t>Net Profit / Sales</w:t>
            </w:r>
          </w:p>
        </w:tc>
        <w:tc>
          <w:tcPr>
            <w:tcW w:w="0" w:type="auto"/>
            <w:tcBorders>
              <w:top w:val="nil"/>
              <w:left w:val="nil"/>
              <w:bottom w:val="single" w:sz="8" w:space="0" w:color="000000"/>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16%</w:t>
            </w:r>
          </w:p>
        </w:tc>
        <w:tc>
          <w:tcPr>
            <w:tcW w:w="0" w:type="auto"/>
            <w:tcBorders>
              <w:top w:val="nil"/>
              <w:left w:val="nil"/>
              <w:bottom w:val="single" w:sz="8" w:space="0" w:color="000000"/>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22%</w:t>
            </w:r>
          </w:p>
        </w:tc>
        <w:tc>
          <w:tcPr>
            <w:tcW w:w="0" w:type="auto"/>
            <w:tcBorders>
              <w:top w:val="nil"/>
              <w:left w:val="nil"/>
              <w:bottom w:val="single" w:sz="8" w:space="0" w:color="000000"/>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28%</w:t>
            </w:r>
          </w:p>
        </w:tc>
        <w:tc>
          <w:tcPr>
            <w:tcW w:w="0" w:type="auto"/>
            <w:tcBorders>
              <w:top w:val="nil"/>
              <w:left w:val="nil"/>
              <w:bottom w:val="single" w:sz="8" w:space="0" w:color="000000"/>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31%</w:t>
            </w:r>
          </w:p>
        </w:tc>
        <w:tc>
          <w:tcPr>
            <w:tcW w:w="0" w:type="auto"/>
            <w:tcBorders>
              <w:top w:val="nil"/>
              <w:left w:val="nil"/>
              <w:bottom w:val="single" w:sz="8" w:space="0" w:color="000000"/>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35%</w:t>
            </w:r>
          </w:p>
        </w:tc>
      </w:tr>
    </w:tbl>
    <w:p w:rsidR="00920594" w:rsidRDefault="00920594" w:rsidP="00460C2C">
      <w:pPr>
        <w:pStyle w:val="Titolo3"/>
        <w:spacing w:before="100" w:after="100"/>
        <w:rPr>
          <w:rFonts w:asciiTheme="majorHAnsi" w:hAnsiTheme="majorHAnsi"/>
          <w:szCs w:val="28"/>
        </w:rPr>
      </w:pPr>
    </w:p>
    <w:p w:rsidR="00D8640C" w:rsidRPr="00D8640C" w:rsidRDefault="00D8640C" w:rsidP="00460C2C"/>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920594" w:rsidTr="00C521BC">
        <w:trPr>
          <w:trHeight w:val="387"/>
        </w:trPr>
        <w:tc>
          <w:tcPr>
            <w:tcW w:w="9576" w:type="dxa"/>
            <w:shd w:val="clear" w:color="auto" w:fill="50D4D1"/>
            <w:vAlign w:val="center"/>
          </w:tcPr>
          <w:p w:rsidR="00920594" w:rsidRDefault="00920594" w:rsidP="00460C2C">
            <w:pPr>
              <w:pStyle w:val="Titolo3"/>
              <w:spacing w:after="280"/>
              <w:rPr>
                <w:rFonts w:asciiTheme="majorHAnsi" w:hAnsiTheme="majorHAnsi"/>
                <w:szCs w:val="28"/>
              </w:rPr>
            </w:pPr>
            <w:r w:rsidRPr="000165EE">
              <w:rPr>
                <w:rFonts w:asciiTheme="majorHAnsi" w:hAnsiTheme="majorHAnsi"/>
                <w:szCs w:val="28"/>
              </w:rPr>
              <w:t>Projected Balance Sheet</w:t>
            </w:r>
          </w:p>
        </w:tc>
      </w:tr>
      <w:tr w:rsidR="00920594" w:rsidTr="009A6B16">
        <w:trPr>
          <w:trHeight w:val="107"/>
        </w:trPr>
        <w:tc>
          <w:tcPr>
            <w:tcW w:w="9576" w:type="dxa"/>
            <w:shd w:val="clear" w:color="auto" w:fill="auto"/>
          </w:tcPr>
          <w:p w:rsidR="00920594" w:rsidRPr="00920594" w:rsidRDefault="00920594" w:rsidP="00460C2C">
            <w:pPr>
              <w:pStyle w:val="Titolo3"/>
              <w:spacing w:after="0" w:afterAutospacing="0" w:line="276" w:lineRule="auto"/>
              <w:rPr>
                <w:rFonts w:asciiTheme="majorHAnsi" w:hAnsiTheme="majorHAnsi"/>
                <w:sz w:val="2"/>
                <w:szCs w:val="28"/>
              </w:rPr>
            </w:pPr>
          </w:p>
        </w:tc>
      </w:tr>
    </w:tbl>
    <w:tbl>
      <w:tblPr>
        <w:tblW w:w="9100" w:type="dxa"/>
        <w:jc w:val="center"/>
        <w:tblLook w:val="04A0" w:firstRow="1" w:lastRow="0" w:firstColumn="1" w:lastColumn="0" w:noHBand="0" w:noVBand="1"/>
      </w:tblPr>
      <w:tblGrid>
        <w:gridCol w:w="2360"/>
        <w:gridCol w:w="1348"/>
        <w:gridCol w:w="1348"/>
        <w:gridCol w:w="1348"/>
        <w:gridCol w:w="1348"/>
        <w:gridCol w:w="1348"/>
      </w:tblGrid>
      <w:tr w:rsidR="0016590F" w:rsidTr="009370F1">
        <w:trPr>
          <w:cantSplit/>
          <w:trHeight w:val="257"/>
          <w:jc w:val="center"/>
        </w:trPr>
        <w:tc>
          <w:tcPr>
            <w:tcW w:w="0" w:type="auto"/>
            <w:tcBorders>
              <w:top w:val="nil"/>
              <w:left w:val="nil"/>
              <w:bottom w:val="single" w:sz="8" w:space="0" w:color="000000"/>
              <w:right w:val="nil"/>
              <w:tl2br w:val="nil"/>
              <w:tr2bl w:val="nil"/>
            </w:tcBorders>
            <w:shd w:val="clear" w:color="auto" w:fill="018BB3"/>
            <w:tcMar>
              <w:top w:w="60" w:type="dxa"/>
              <w:left w:w="0" w:type="dxa"/>
              <w:bottom w:w="100" w:type="dxa"/>
              <w:right w:w="0" w:type="dxa"/>
            </w:tcMar>
            <w:vAlign w:val="center"/>
          </w:tcPr>
          <w:p w:rsidR="004B110F" w:rsidRDefault="004B110F" w:rsidP="00460C2C">
            <w:pPr>
              <w:pStyle w:val="FinancialTableHeader"/>
              <w:keepNext/>
              <w:keepLines/>
              <w:spacing w:after="280"/>
            </w:pPr>
          </w:p>
        </w:tc>
        <w:tc>
          <w:tcPr>
            <w:tcW w:w="0" w:type="auto"/>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FinancialTableHeader"/>
              <w:keepNext/>
              <w:keepLines/>
              <w:spacing w:after="280"/>
            </w:pPr>
            <w:r>
              <w:t>2019</w:t>
            </w:r>
          </w:p>
        </w:tc>
        <w:tc>
          <w:tcPr>
            <w:tcW w:w="0" w:type="auto"/>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FinancialTableHeader"/>
              <w:keepNext/>
              <w:keepLines/>
              <w:spacing w:after="280"/>
            </w:pPr>
            <w:r>
              <w:t>2020</w:t>
            </w:r>
          </w:p>
        </w:tc>
        <w:tc>
          <w:tcPr>
            <w:tcW w:w="0" w:type="auto"/>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FinancialTableHeader"/>
              <w:keepNext/>
              <w:keepLines/>
              <w:spacing w:after="280"/>
            </w:pPr>
            <w:r>
              <w:t>2021</w:t>
            </w:r>
          </w:p>
        </w:tc>
        <w:tc>
          <w:tcPr>
            <w:tcW w:w="0" w:type="auto"/>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FinancialTableHeader"/>
              <w:keepNext/>
              <w:keepLines/>
              <w:spacing w:after="280"/>
            </w:pPr>
            <w:r>
              <w:t>2022</w:t>
            </w:r>
          </w:p>
        </w:tc>
        <w:tc>
          <w:tcPr>
            <w:tcW w:w="0" w:type="auto"/>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FinancialTableHeader"/>
              <w:keepNext/>
              <w:keepLines/>
              <w:spacing w:after="280"/>
            </w:pPr>
            <w:r>
              <w:t>2023</w:t>
            </w:r>
          </w:p>
        </w:tc>
      </w:tr>
      <w:tr w:rsidR="0016590F" w:rsidTr="009370F1">
        <w:trPr>
          <w:cantSplit/>
          <w:trHeight w:val="214"/>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Item"/>
              <w:keepNext/>
              <w:keepLines/>
              <w:spacing w:after="280"/>
            </w:pPr>
            <w:r>
              <w:t>Cash</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€102,047,199</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€119,797,564</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€158,169,685</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€235,281,161</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€435,682,118</w:t>
            </w:r>
          </w:p>
        </w:tc>
      </w:tr>
      <w:tr w:rsidR="0016590F" w:rsidTr="009370F1">
        <w:trPr>
          <w:cantSplit/>
          <w:trHeight w:val="235"/>
          <w:jc w:val="center"/>
        </w:trPr>
        <w:tc>
          <w:tcPr>
            <w:tcW w:w="0" w:type="auto"/>
            <w:tcBorders>
              <w:top w:val="nil"/>
              <w:left w:val="nil"/>
              <w:bottom w:val="nil"/>
              <w:right w:val="nil"/>
              <w:tl2br w:val="nil"/>
              <w:tr2bl w:val="nil"/>
            </w:tcBorders>
            <w:shd w:val="clear" w:color="auto" w:fill="B4C6E7" w:themeFill="accent1" w:themeFillTint="66"/>
            <w:tcMar>
              <w:top w:w="60" w:type="dxa"/>
              <w:left w:w="0" w:type="dxa"/>
              <w:bottom w:w="100" w:type="dxa"/>
              <w:right w:w="0" w:type="dxa"/>
            </w:tcMar>
            <w:vAlign w:val="center"/>
          </w:tcPr>
          <w:p w:rsidR="004B110F" w:rsidRDefault="001B78B5" w:rsidP="00460C2C">
            <w:pPr>
              <w:pStyle w:val="FinancialTableItem"/>
              <w:keepNext/>
              <w:keepLines/>
              <w:spacing w:after="280"/>
            </w:pPr>
            <w:r>
              <w:t>Accounts Receivable</w:t>
            </w:r>
          </w:p>
        </w:tc>
        <w:tc>
          <w:tcPr>
            <w:tcW w:w="0" w:type="auto"/>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Item"/>
              <w:keepNext/>
              <w:keepLines/>
              <w:spacing w:after="280"/>
            </w:pPr>
            <w:r>
              <w:t>€0</w:t>
            </w:r>
          </w:p>
        </w:tc>
        <w:tc>
          <w:tcPr>
            <w:tcW w:w="0" w:type="auto"/>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Item"/>
              <w:keepNext/>
              <w:keepLines/>
              <w:spacing w:after="280"/>
            </w:pPr>
            <w:r>
              <w:t>€0</w:t>
            </w:r>
          </w:p>
        </w:tc>
        <w:tc>
          <w:tcPr>
            <w:tcW w:w="0" w:type="auto"/>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Item"/>
              <w:keepNext/>
              <w:keepLines/>
              <w:spacing w:after="280"/>
            </w:pPr>
            <w:r>
              <w:t>€0</w:t>
            </w:r>
          </w:p>
        </w:tc>
        <w:tc>
          <w:tcPr>
            <w:tcW w:w="0" w:type="auto"/>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Item"/>
              <w:keepNext/>
              <w:keepLines/>
              <w:spacing w:after="280"/>
            </w:pPr>
            <w:r>
              <w:t>€0</w:t>
            </w:r>
          </w:p>
        </w:tc>
        <w:tc>
          <w:tcPr>
            <w:tcW w:w="0" w:type="auto"/>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Item"/>
              <w:keepNext/>
              <w:keepLines/>
              <w:spacing w:after="280"/>
            </w:pPr>
            <w:r>
              <w:t>€0</w:t>
            </w:r>
          </w:p>
        </w:tc>
      </w:tr>
      <w:tr w:rsidR="0016590F" w:rsidTr="009370F1">
        <w:trPr>
          <w:cantSplit/>
          <w:trHeight w:val="214"/>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Item"/>
              <w:keepNext/>
              <w:keepLines/>
              <w:spacing w:after="280"/>
            </w:pPr>
            <w:r>
              <w:t>Inventory</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r>
      <w:tr w:rsidR="0016590F" w:rsidTr="009370F1">
        <w:trPr>
          <w:cantSplit/>
          <w:trHeight w:val="214"/>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Item"/>
              <w:keepNext/>
              <w:keepLines/>
              <w:spacing w:after="280"/>
            </w:pPr>
            <w:r>
              <w:t>Other Current Assets</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r>
      <w:tr w:rsidR="0016590F" w:rsidTr="009370F1">
        <w:trPr>
          <w:cantSplit/>
          <w:trHeight w:val="257"/>
          <w:jc w:val="center"/>
        </w:trPr>
        <w:tc>
          <w:tcPr>
            <w:tcW w:w="0" w:type="auto"/>
            <w:tcBorders>
              <w:top w:val="nil"/>
              <w:left w:val="nil"/>
              <w:bottom w:val="nil"/>
              <w:right w:val="nil"/>
              <w:tl2br w:val="nil"/>
              <w:tr2bl w:val="nil"/>
            </w:tcBorders>
            <w:shd w:val="clear" w:color="auto" w:fill="FFE599" w:themeFill="accent4" w:themeFillTint="66"/>
            <w:tcMar>
              <w:top w:w="60" w:type="dxa"/>
              <w:left w:w="0" w:type="dxa"/>
              <w:bottom w:w="100" w:type="dxa"/>
              <w:right w:w="0" w:type="dxa"/>
            </w:tcMar>
            <w:vAlign w:val="center"/>
          </w:tcPr>
          <w:p w:rsidR="004B110F" w:rsidRDefault="001B78B5" w:rsidP="00460C2C">
            <w:pPr>
              <w:pStyle w:val="FinancialTableGroupHeader"/>
              <w:keepNext/>
              <w:keepLines/>
              <w:spacing w:after="280"/>
            </w:pPr>
            <w:r>
              <w:t>Total Current Assets</w:t>
            </w:r>
          </w:p>
        </w:tc>
        <w:tc>
          <w:tcPr>
            <w:tcW w:w="0" w:type="auto"/>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Header"/>
              <w:keepNext/>
              <w:keepLines/>
              <w:spacing w:after="280"/>
            </w:pPr>
            <w:r>
              <w:t>€102,047,199</w:t>
            </w:r>
          </w:p>
        </w:tc>
        <w:tc>
          <w:tcPr>
            <w:tcW w:w="0" w:type="auto"/>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Header"/>
              <w:keepNext/>
              <w:keepLines/>
              <w:spacing w:after="280"/>
            </w:pPr>
            <w:r>
              <w:t>€119,797,564</w:t>
            </w:r>
          </w:p>
        </w:tc>
        <w:tc>
          <w:tcPr>
            <w:tcW w:w="0" w:type="auto"/>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Header"/>
              <w:keepNext/>
              <w:keepLines/>
              <w:spacing w:after="280"/>
            </w:pPr>
            <w:r>
              <w:t>€158,169,685</w:t>
            </w:r>
          </w:p>
        </w:tc>
        <w:tc>
          <w:tcPr>
            <w:tcW w:w="0" w:type="auto"/>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Header"/>
              <w:keepNext/>
              <w:keepLines/>
              <w:spacing w:after="280"/>
            </w:pPr>
            <w:r>
              <w:t>€235,281,161</w:t>
            </w:r>
          </w:p>
        </w:tc>
        <w:tc>
          <w:tcPr>
            <w:tcW w:w="0" w:type="auto"/>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Header"/>
              <w:keepNext/>
              <w:keepLines/>
              <w:spacing w:after="280"/>
            </w:pPr>
            <w:r>
              <w:t>€435,682,118</w:t>
            </w:r>
          </w:p>
        </w:tc>
      </w:tr>
      <w:tr w:rsidR="0016590F" w:rsidTr="009370F1">
        <w:trPr>
          <w:cantSplit/>
          <w:trHeight w:hRule="exact" w:val="21"/>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r>
      <w:tr w:rsidR="0016590F" w:rsidTr="009370F1">
        <w:trPr>
          <w:cantSplit/>
          <w:trHeight w:val="214"/>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Item"/>
              <w:keepNext/>
              <w:keepLines/>
              <w:spacing w:after="280"/>
            </w:pPr>
            <w:r>
              <w:t>Long-Term Assets</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€6,506,000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€6,976,000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€7,461,000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€7,971,000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€8,511,000</w:t>
            </w:r>
          </w:p>
        </w:tc>
      </w:tr>
      <w:tr w:rsidR="0016590F" w:rsidTr="009370F1">
        <w:trPr>
          <w:cantSplit/>
          <w:trHeight w:val="235"/>
          <w:jc w:val="center"/>
        </w:trPr>
        <w:tc>
          <w:tcPr>
            <w:tcW w:w="0" w:type="auto"/>
            <w:tcBorders>
              <w:top w:val="nil"/>
              <w:left w:val="nil"/>
              <w:right w:val="nil"/>
              <w:tl2br w:val="nil"/>
              <w:tr2bl w:val="nil"/>
            </w:tcBorders>
            <w:shd w:val="clear" w:color="auto" w:fill="B4C6E7" w:themeFill="accent1" w:themeFillTint="66"/>
            <w:tcMar>
              <w:top w:w="60" w:type="dxa"/>
              <w:left w:w="0" w:type="dxa"/>
              <w:bottom w:w="100" w:type="dxa"/>
              <w:right w:w="0" w:type="dxa"/>
            </w:tcMar>
            <w:vAlign w:val="center"/>
          </w:tcPr>
          <w:p w:rsidR="004B110F" w:rsidRDefault="001B78B5" w:rsidP="00460C2C">
            <w:pPr>
              <w:pStyle w:val="FinancialTableItem"/>
              <w:keepNext/>
              <w:keepLines/>
              <w:spacing w:after="280"/>
            </w:pPr>
            <w:r>
              <w:t>Accumulated Depreciation</w:t>
            </w:r>
          </w:p>
        </w:tc>
        <w:tc>
          <w:tcPr>
            <w:tcW w:w="0" w:type="auto"/>
            <w:tcBorders>
              <w:top w:val="nil"/>
              <w:left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Item"/>
              <w:keepNext/>
              <w:keepLines/>
              <w:spacing w:after="280"/>
            </w:pPr>
            <w:r>
              <w:t>(€504,651)</w:t>
            </w:r>
          </w:p>
        </w:tc>
        <w:tc>
          <w:tcPr>
            <w:tcW w:w="0" w:type="auto"/>
            <w:tcBorders>
              <w:top w:val="nil"/>
              <w:left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Item"/>
              <w:keepNext/>
              <w:keepLines/>
              <w:spacing w:after="280"/>
            </w:pPr>
            <w:r>
              <w:t>(€1,050,524)</w:t>
            </w:r>
          </w:p>
        </w:tc>
        <w:tc>
          <w:tcPr>
            <w:tcW w:w="0" w:type="auto"/>
            <w:tcBorders>
              <w:top w:val="nil"/>
              <w:left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Item"/>
              <w:keepNext/>
              <w:keepLines/>
              <w:spacing w:after="280"/>
            </w:pPr>
            <w:r>
              <w:t>(€1,668,685)</w:t>
            </w:r>
          </w:p>
        </w:tc>
        <w:tc>
          <w:tcPr>
            <w:tcW w:w="0" w:type="auto"/>
            <w:tcBorders>
              <w:top w:val="nil"/>
              <w:left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Item"/>
              <w:keepNext/>
              <w:keepLines/>
              <w:spacing w:after="280"/>
            </w:pPr>
            <w:r>
              <w:t>(€2,345,264)</w:t>
            </w:r>
          </w:p>
        </w:tc>
        <w:tc>
          <w:tcPr>
            <w:tcW w:w="0" w:type="auto"/>
            <w:tcBorders>
              <w:top w:val="nil"/>
              <w:left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1B78B5" w:rsidP="00460C2C">
            <w:pPr>
              <w:pStyle w:val="FinancialTableItem"/>
              <w:keepNext/>
              <w:keepLines/>
              <w:spacing w:after="280"/>
            </w:pPr>
            <w:r>
              <w:t>(€3,096,113)</w:t>
            </w:r>
          </w:p>
        </w:tc>
      </w:tr>
      <w:tr w:rsidR="0016590F" w:rsidTr="009370F1">
        <w:trPr>
          <w:cantSplit/>
          <w:trHeight w:val="257"/>
          <w:jc w:val="center"/>
        </w:trPr>
        <w:tc>
          <w:tcPr>
            <w:tcW w:w="0" w:type="auto"/>
            <w:tcBorders>
              <w:top w:val="nil"/>
              <w:left w:val="nil"/>
              <w:bottom w:val="single" w:sz="6" w:space="0" w:color="auto"/>
              <w:right w:val="nil"/>
              <w:tl2br w:val="nil"/>
              <w:tr2bl w:val="nil"/>
            </w:tcBorders>
            <w:shd w:val="clear" w:color="auto" w:fill="FFD966" w:themeFill="accent4" w:themeFillTint="99"/>
            <w:tcMar>
              <w:top w:w="60" w:type="dxa"/>
              <w:left w:w="0" w:type="dxa"/>
              <w:bottom w:w="100" w:type="dxa"/>
              <w:right w:w="0" w:type="dxa"/>
            </w:tcMar>
            <w:vAlign w:val="center"/>
          </w:tcPr>
          <w:p w:rsidR="004B110F" w:rsidRDefault="001B78B5" w:rsidP="00460C2C">
            <w:pPr>
              <w:pStyle w:val="FinancialTableGroupHeader"/>
              <w:keepNext/>
              <w:keepLines/>
              <w:spacing w:after="280"/>
            </w:pPr>
            <w:r>
              <w:t>Total Long-Term Assets</w:t>
            </w:r>
          </w:p>
        </w:tc>
        <w:tc>
          <w:tcPr>
            <w:tcW w:w="0" w:type="auto"/>
            <w:tcBorders>
              <w:top w:val="nil"/>
              <w:left w:val="nil"/>
              <w:bottom w:val="single" w:sz="6" w:space="0" w:color="auto"/>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FinancialTableGroupHeader"/>
              <w:keepNext/>
              <w:keepLines/>
              <w:spacing w:after="280"/>
            </w:pPr>
            <w:r>
              <w:t>€6,001,349</w:t>
            </w:r>
          </w:p>
        </w:tc>
        <w:tc>
          <w:tcPr>
            <w:tcW w:w="0" w:type="auto"/>
            <w:tcBorders>
              <w:top w:val="nil"/>
              <w:left w:val="nil"/>
              <w:bottom w:val="single" w:sz="6" w:space="0" w:color="auto"/>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FinancialTableGroupHeader"/>
              <w:keepNext/>
              <w:keepLines/>
              <w:spacing w:after="280"/>
            </w:pPr>
            <w:r>
              <w:t>€5,925,476</w:t>
            </w:r>
          </w:p>
        </w:tc>
        <w:tc>
          <w:tcPr>
            <w:tcW w:w="0" w:type="auto"/>
            <w:tcBorders>
              <w:top w:val="nil"/>
              <w:left w:val="nil"/>
              <w:bottom w:val="single" w:sz="6" w:space="0" w:color="auto"/>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FinancialTableGroupHeader"/>
              <w:keepNext/>
              <w:keepLines/>
              <w:spacing w:after="280"/>
            </w:pPr>
            <w:r>
              <w:t>€5,792,315</w:t>
            </w:r>
          </w:p>
        </w:tc>
        <w:tc>
          <w:tcPr>
            <w:tcW w:w="0" w:type="auto"/>
            <w:tcBorders>
              <w:top w:val="nil"/>
              <w:left w:val="nil"/>
              <w:bottom w:val="single" w:sz="6" w:space="0" w:color="auto"/>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FinancialTableGroupHeader"/>
              <w:keepNext/>
              <w:keepLines/>
              <w:spacing w:after="280"/>
            </w:pPr>
            <w:r>
              <w:t>€5,625,736</w:t>
            </w:r>
          </w:p>
        </w:tc>
        <w:tc>
          <w:tcPr>
            <w:tcW w:w="0" w:type="auto"/>
            <w:tcBorders>
              <w:top w:val="nil"/>
              <w:left w:val="nil"/>
              <w:bottom w:val="single" w:sz="6" w:space="0" w:color="auto"/>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FinancialTableGroupHeader"/>
              <w:keepNext/>
              <w:keepLines/>
              <w:spacing w:after="280"/>
            </w:pPr>
            <w:r>
              <w:t>€5,414,887</w:t>
            </w:r>
          </w:p>
        </w:tc>
      </w:tr>
      <w:tr w:rsidR="0016590F" w:rsidTr="009370F1">
        <w:trPr>
          <w:cantSplit/>
          <w:trHeight w:val="235"/>
          <w:jc w:val="center"/>
        </w:trPr>
        <w:tc>
          <w:tcPr>
            <w:tcW w:w="0" w:type="auto"/>
            <w:tcBorders>
              <w:top w:val="single" w:sz="6" w:space="0" w:color="auto"/>
              <w:left w:val="nil"/>
              <w:bottom w:val="single" w:sz="8" w:space="0" w:color="000000"/>
              <w:right w:val="nil"/>
              <w:tl2br w:val="nil"/>
              <w:tr2bl w:val="nil"/>
            </w:tcBorders>
            <w:shd w:val="clear" w:color="auto" w:fill="C5E0B3" w:themeFill="accent6" w:themeFillTint="66"/>
            <w:tcMar>
              <w:top w:w="60" w:type="dxa"/>
              <w:left w:w="0" w:type="dxa"/>
              <w:bottom w:w="100" w:type="dxa"/>
              <w:right w:w="0" w:type="dxa"/>
            </w:tcMar>
            <w:vAlign w:val="center"/>
          </w:tcPr>
          <w:p w:rsidR="004B110F" w:rsidRDefault="001B78B5" w:rsidP="00460C2C">
            <w:pPr>
              <w:pStyle w:val="FinancialTableGroupFooter"/>
              <w:keepNext/>
              <w:keepLines/>
              <w:spacing w:after="280"/>
            </w:pPr>
            <w:r>
              <w:t>Total Assets</w:t>
            </w:r>
          </w:p>
        </w:tc>
        <w:tc>
          <w:tcPr>
            <w:tcW w:w="0" w:type="auto"/>
            <w:tcBorders>
              <w:top w:val="single" w:sz="6" w:space="0" w:color="auto"/>
              <w:left w:val="nil"/>
              <w:bottom w:val="single" w:sz="8" w:space="0" w:color="000000"/>
              <w:right w:val="nil"/>
              <w:tl2br w:val="nil"/>
              <w:tr2bl w:val="nil"/>
            </w:tcBorders>
            <w:shd w:val="clear" w:color="auto" w:fill="C5E0B3" w:themeFill="accent6"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€108,048,548</w:t>
            </w:r>
          </w:p>
        </w:tc>
        <w:tc>
          <w:tcPr>
            <w:tcW w:w="0" w:type="auto"/>
            <w:tcBorders>
              <w:top w:val="single" w:sz="6" w:space="0" w:color="auto"/>
              <w:left w:val="nil"/>
              <w:bottom w:val="single" w:sz="8" w:space="0" w:color="000000"/>
              <w:right w:val="nil"/>
              <w:tl2br w:val="nil"/>
              <w:tr2bl w:val="nil"/>
            </w:tcBorders>
            <w:shd w:val="clear" w:color="auto" w:fill="C5E0B3" w:themeFill="accent6"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€125,723,040</w:t>
            </w:r>
          </w:p>
        </w:tc>
        <w:tc>
          <w:tcPr>
            <w:tcW w:w="0" w:type="auto"/>
            <w:tcBorders>
              <w:top w:val="single" w:sz="6" w:space="0" w:color="auto"/>
              <w:left w:val="nil"/>
              <w:bottom w:val="single" w:sz="8" w:space="0" w:color="000000"/>
              <w:right w:val="nil"/>
              <w:tl2br w:val="nil"/>
              <w:tr2bl w:val="nil"/>
            </w:tcBorders>
            <w:shd w:val="clear" w:color="auto" w:fill="C5E0B3" w:themeFill="accent6"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€163,962,001</w:t>
            </w:r>
          </w:p>
        </w:tc>
        <w:tc>
          <w:tcPr>
            <w:tcW w:w="0" w:type="auto"/>
            <w:tcBorders>
              <w:top w:val="single" w:sz="6" w:space="0" w:color="auto"/>
              <w:left w:val="nil"/>
              <w:bottom w:val="single" w:sz="8" w:space="0" w:color="000000"/>
              <w:right w:val="nil"/>
              <w:tl2br w:val="nil"/>
              <w:tr2bl w:val="nil"/>
            </w:tcBorders>
            <w:shd w:val="clear" w:color="auto" w:fill="C5E0B3" w:themeFill="accent6"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€240,906,897</w:t>
            </w:r>
          </w:p>
        </w:tc>
        <w:tc>
          <w:tcPr>
            <w:tcW w:w="0" w:type="auto"/>
            <w:tcBorders>
              <w:top w:val="single" w:sz="6" w:space="0" w:color="auto"/>
              <w:left w:val="nil"/>
              <w:bottom w:val="single" w:sz="8" w:space="0" w:color="000000"/>
              <w:right w:val="nil"/>
              <w:tl2br w:val="nil"/>
              <w:tr2bl w:val="nil"/>
            </w:tcBorders>
            <w:shd w:val="clear" w:color="auto" w:fill="C5E0B3" w:themeFill="accent6"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€441,097,005</w:t>
            </w:r>
          </w:p>
        </w:tc>
      </w:tr>
      <w:tr w:rsidR="0016590F" w:rsidTr="009370F1">
        <w:trPr>
          <w:cantSplit/>
          <w:trHeight w:hRule="exact" w:val="21"/>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r>
      <w:tr w:rsidR="0016590F" w:rsidTr="009370F1">
        <w:trPr>
          <w:cantSplit/>
          <w:trHeight w:val="214"/>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Item"/>
              <w:keepNext/>
              <w:keepLines/>
              <w:spacing w:after="280"/>
            </w:pPr>
            <w:r>
              <w:t>Accounts Payable</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€0</w:t>
            </w:r>
          </w:p>
        </w:tc>
      </w:tr>
      <w:tr w:rsidR="0016590F" w:rsidTr="009370F1">
        <w:trPr>
          <w:cantSplit/>
          <w:trHeight w:val="235"/>
          <w:jc w:val="center"/>
        </w:trPr>
        <w:tc>
          <w:tcPr>
            <w:tcW w:w="0" w:type="auto"/>
            <w:tcBorders>
              <w:top w:val="nil"/>
              <w:left w:val="nil"/>
              <w:bottom w:val="nil"/>
              <w:right w:val="nil"/>
              <w:tl2br w:val="nil"/>
              <w:tr2bl w:val="nil"/>
            </w:tcBorders>
            <w:shd w:val="clear" w:color="auto" w:fill="D0CECE" w:themeFill="background2" w:themeFillShade="E6"/>
            <w:tcMar>
              <w:top w:w="60" w:type="dxa"/>
              <w:left w:w="0" w:type="dxa"/>
              <w:bottom w:w="100" w:type="dxa"/>
              <w:right w:w="0" w:type="dxa"/>
            </w:tcMar>
            <w:vAlign w:val="center"/>
          </w:tcPr>
          <w:p w:rsidR="004B110F" w:rsidRDefault="001B78B5" w:rsidP="00460C2C">
            <w:pPr>
              <w:pStyle w:val="FinancialTableItem"/>
              <w:keepNext/>
              <w:keepLines/>
              <w:spacing w:after="280"/>
            </w:pPr>
            <w:r>
              <w:t>Income Taxes Payable</w:t>
            </w: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FinancialTableItem"/>
              <w:keepNext/>
              <w:keepLines/>
              <w:spacing w:after="280"/>
            </w:pPr>
            <w:r>
              <w:t>€2,563,312</w:t>
            </w: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FinancialTableItem"/>
              <w:keepNext/>
              <w:keepLines/>
              <w:spacing w:after="280"/>
            </w:pPr>
            <w:r>
              <w:t>€6,934,342</w:t>
            </w: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FinancialTableItem"/>
              <w:keepNext/>
              <w:keepLines/>
              <w:spacing w:after="280"/>
            </w:pPr>
            <w:r>
              <w:t>€15,485,800</w:t>
            </w: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FinancialTableItem"/>
              <w:keepNext/>
              <w:keepLines/>
              <w:spacing w:after="280"/>
            </w:pPr>
            <w:r>
              <w:t>€31,736,249</w:t>
            </w: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FinancialTableItem"/>
              <w:keepNext/>
              <w:keepLines/>
              <w:spacing w:after="280"/>
            </w:pPr>
            <w:r>
              <w:t>€79,571,835</w:t>
            </w:r>
          </w:p>
        </w:tc>
      </w:tr>
      <w:tr w:rsidR="0016590F" w:rsidTr="009370F1">
        <w:trPr>
          <w:cantSplit/>
          <w:trHeight w:val="214"/>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Item"/>
              <w:keepNext/>
              <w:keepLines/>
              <w:spacing w:after="280"/>
            </w:pPr>
            <w:r>
              <w:t>Sales Taxes Payable</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€724,800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€1,150,198</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€2,078,357</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€3,834,058</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€8,412,315</w:t>
            </w:r>
          </w:p>
        </w:tc>
      </w:tr>
      <w:tr w:rsidR="0016590F" w:rsidTr="009370F1">
        <w:trPr>
          <w:cantSplit/>
          <w:trHeight w:val="235"/>
          <w:jc w:val="center"/>
        </w:trPr>
        <w:tc>
          <w:tcPr>
            <w:tcW w:w="0" w:type="auto"/>
            <w:tcBorders>
              <w:top w:val="nil"/>
              <w:left w:val="nil"/>
              <w:bottom w:val="nil"/>
              <w:right w:val="nil"/>
              <w:tl2br w:val="nil"/>
              <w:tr2bl w:val="nil"/>
            </w:tcBorders>
            <w:shd w:val="clear" w:color="auto" w:fill="D0CECE" w:themeFill="background2" w:themeFillShade="E6"/>
            <w:tcMar>
              <w:top w:w="60" w:type="dxa"/>
              <w:left w:w="0" w:type="dxa"/>
              <w:bottom w:w="100" w:type="dxa"/>
              <w:right w:w="0" w:type="dxa"/>
            </w:tcMar>
            <w:vAlign w:val="center"/>
          </w:tcPr>
          <w:p w:rsidR="004B110F" w:rsidRDefault="001B78B5" w:rsidP="00460C2C">
            <w:pPr>
              <w:pStyle w:val="FinancialTableItem"/>
              <w:keepNext/>
              <w:keepLines/>
              <w:spacing w:after="280"/>
            </w:pPr>
            <w:r>
              <w:t>Short-Term Debt</w:t>
            </w: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FinancialTableItem"/>
              <w:keepNext/>
              <w:keepLines/>
              <w:spacing w:after="280"/>
            </w:pPr>
          </w:p>
        </w:tc>
      </w:tr>
      <w:tr w:rsidR="0016590F" w:rsidTr="009370F1">
        <w:trPr>
          <w:cantSplit/>
          <w:trHeight w:val="214"/>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Item"/>
              <w:keepNext/>
              <w:keepLines/>
              <w:spacing w:after="280"/>
            </w:pPr>
            <w:r>
              <w:t>Prepaid Revenue</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r>
      <w:tr w:rsidR="0016590F" w:rsidTr="009370F1">
        <w:trPr>
          <w:cantSplit/>
          <w:trHeight w:val="257"/>
          <w:jc w:val="center"/>
        </w:trPr>
        <w:tc>
          <w:tcPr>
            <w:tcW w:w="0" w:type="auto"/>
            <w:tcBorders>
              <w:top w:val="nil"/>
              <w:left w:val="nil"/>
              <w:bottom w:val="nil"/>
              <w:right w:val="nil"/>
              <w:tl2br w:val="nil"/>
              <w:tr2bl w:val="nil"/>
            </w:tcBorders>
            <w:shd w:val="clear" w:color="auto" w:fill="FFE599" w:themeFill="accent4" w:themeFillTint="66"/>
            <w:tcMar>
              <w:top w:w="60" w:type="dxa"/>
              <w:left w:w="0" w:type="dxa"/>
              <w:bottom w:w="100" w:type="dxa"/>
              <w:right w:w="0" w:type="dxa"/>
            </w:tcMar>
            <w:vAlign w:val="center"/>
          </w:tcPr>
          <w:p w:rsidR="004B110F" w:rsidRDefault="001B78B5" w:rsidP="00460C2C">
            <w:pPr>
              <w:pStyle w:val="FinancialTableGroupHeader"/>
              <w:keepNext/>
              <w:keepLines/>
              <w:spacing w:after="280"/>
            </w:pPr>
            <w:r>
              <w:t>Total Current Liabilities</w:t>
            </w:r>
          </w:p>
        </w:tc>
        <w:tc>
          <w:tcPr>
            <w:tcW w:w="0" w:type="auto"/>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Header"/>
              <w:keepNext/>
              <w:keepLines/>
              <w:spacing w:after="280"/>
            </w:pPr>
            <w:r>
              <w:t>€3,288,112</w:t>
            </w:r>
          </w:p>
        </w:tc>
        <w:tc>
          <w:tcPr>
            <w:tcW w:w="0" w:type="auto"/>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Header"/>
              <w:keepNext/>
              <w:keepLines/>
              <w:spacing w:after="280"/>
            </w:pPr>
            <w:r>
              <w:t>€8,084,540</w:t>
            </w:r>
          </w:p>
        </w:tc>
        <w:tc>
          <w:tcPr>
            <w:tcW w:w="0" w:type="auto"/>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Header"/>
              <w:keepNext/>
              <w:keepLines/>
              <w:spacing w:after="280"/>
            </w:pPr>
            <w:r>
              <w:t>€17,564,157</w:t>
            </w:r>
          </w:p>
        </w:tc>
        <w:tc>
          <w:tcPr>
            <w:tcW w:w="0" w:type="auto"/>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Header"/>
              <w:keepNext/>
              <w:keepLines/>
              <w:spacing w:after="280"/>
            </w:pPr>
            <w:r>
              <w:t>€35,570,307</w:t>
            </w:r>
          </w:p>
        </w:tc>
        <w:tc>
          <w:tcPr>
            <w:tcW w:w="0" w:type="auto"/>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Header"/>
              <w:keepNext/>
              <w:keepLines/>
              <w:spacing w:after="280"/>
            </w:pPr>
            <w:r>
              <w:t>€87,984,150</w:t>
            </w:r>
          </w:p>
        </w:tc>
      </w:tr>
      <w:tr w:rsidR="0016590F" w:rsidTr="009370F1">
        <w:trPr>
          <w:cantSplit/>
          <w:trHeight w:val="214"/>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Item"/>
              <w:keepNext/>
              <w:keepLines/>
              <w:spacing w:after="280"/>
            </w:pPr>
            <w:r>
              <w:t>Long-Term Debt</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Item"/>
              <w:keepNext/>
              <w:keepLines/>
              <w:spacing w:after="280"/>
            </w:pPr>
          </w:p>
        </w:tc>
      </w:tr>
      <w:tr w:rsidR="0016590F" w:rsidTr="009370F1">
        <w:trPr>
          <w:cantSplit/>
          <w:trHeight w:hRule="exact" w:val="21"/>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r>
      <w:tr w:rsidR="0016590F" w:rsidTr="009370F1">
        <w:trPr>
          <w:cantSplit/>
          <w:trHeight w:val="257"/>
          <w:jc w:val="center"/>
        </w:trPr>
        <w:tc>
          <w:tcPr>
            <w:tcW w:w="0" w:type="auto"/>
            <w:tcBorders>
              <w:top w:val="nil"/>
              <w:left w:val="nil"/>
              <w:bottom w:val="single" w:sz="8" w:space="0" w:color="000000"/>
              <w:right w:val="nil"/>
              <w:tl2br w:val="nil"/>
              <w:tr2bl w:val="nil"/>
            </w:tcBorders>
            <w:shd w:val="clear" w:color="auto" w:fill="FFE599" w:themeFill="accent4" w:themeFillTint="66"/>
            <w:tcMar>
              <w:top w:w="60" w:type="dxa"/>
              <w:left w:w="0" w:type="dxa"/>
              <w:bottom w:w="100" w:type="dxa"/>
              <w:right w:w="0" w:type="dxa"/>
            </w:tcMar>
            <w:vAlign w:val="center"/>
          </w:tcPr>
          <w:p w:rsidR="004B110F" w:rsidRDefault="001B78B5" w:rsidP="00460C2C">
            <w:pPr>
              <w:pStyle w:val="FinancialTableGroupFooter"/>
              <w:keepNext/>
              <w:keepLines/>
              <w:spacing w:after="280"/>
            </w:pPr>
            <w:r>
              <w:t>Total Liabilities</w:t>
            </w:r>
          </w:p>
        </w:tc>
        <w:tc>
          <w:tcPr>
            <w:tcW w:w="0" w:type="auto"/>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€3,288,112</w:t>
            </w:r>
          </w:p>
        </w:tc>
        <w:tc>
          <w:tcPr>
            <w:tcW w:w="0" w:type="auto"/>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€8,084,540</w:t>
            </w:r>
          </w:p>
        </w:tc>
        <w:tc>
          <w:tcPr>
            <w:tcW w:w="0" w:type="auto"/>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€17,564,157</w:t>
            </w:r>
          </w:p>
        </w:tc>
        <w:tc>
          <w:tcPr>
            <w:tcW w:w="0" w:type="auto"/>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€35,570,307</w:t>
            </w:r>
          </w:p>
        </w:tc>
        <w:tc>
          <w:tcPr>
            <w:tcW w:w="0" w:type="auto"/>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€87,984,150</w:t>
            </w:r>
          </w:p>
        </w:tc>
      </w:tr>
      <w:tr w:rsidR="0016590F" w:rsidTr="009370F1">
        <w:trPr>
          <w:cantSplit/>
          <w:trHeight w:hRule="exact" w:val="21"/>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Spacer"/>
              <w:keepNext/>
              <w:keepLines/>
              <w:spacing w:after="280" w:afterAutospacing="1"/>
            </w:pPr>
          </w:p>
        </w:tc>
      </w:tr>
      <w:tr w:rsidR="0016590F" w:rsidTr="009370F1">
        <w:trPr>
          <w:cantSplit/>
          <w:trHeight w:val="214"/>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Item"/>
              <w:keepNext/>
              <w:keepLines/>
              <w:spacing w:after="280"/>
            </w:pPr>
            <w:r>
              <w:t>Paid-In Capital</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€100,000,000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€100,000,000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€100,000,000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€100,000,000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€100,000,000</w:t>
            </w:r>
          </w:p>
        </w:tc>
      </w:tr>
      <w:tr w:rsidR="0016590F" w:rsidTr="009370F1">
        <w:trPr>
          <w:cantSplit/>
          <w:trHeight w:val="235"/>
          <w:jc w:val="center"/>
        </w:trPr>
        <w:tc>
          <w:tcPr>
            <w:tcW w:w="0" w:type="auto"/>
            <w:tcBorders>
              <w:top w:val="nil"/>
              <w:left w:val="nil"/>
              <w:bottom w:val="nil"/>
              <w:right w:val="nil"/>
              <w:tl2br w:val="nil"/>
              <w:tr2bl w:val="nil"/>
            </w:tcBorders>
            <w:shd w:val="clear" w:color="auto" w:fill="D0CECE" w:themeFill="background2" w:themeFillShade="E6"/>
            <w:tcMar>
              <w:top w:w="60" w:type="dxa"/>
              <w:left w:w="0" w:type="dxa"/>
              <w:bottom w:w="100" w:type="dxa"/>
              <w:right w:w="0" w:type="dxa"/>
            </w:tcMar>
            <w:vAlign w:val="center"/>
          </w:tcPr>
          <w:p w:rsidR="004B110F" w:rsidRDefault="001B78B5" w:rsidP="00460C2C">
            <w:pPr>
              <w:pStyle w:val="FinancialTableItem"/>
              <w:keepNext/>
              <w:keepLines/>
              <w:spacing w:after="280"/>
            </w:pPr>
            <w:r>
              <w:t>Retained Earnings</w:t>
            </w: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FinancialTableItem"/>
              <w:keepNext/>
              <w:keepLines/>
              <w:spacing w:after="280"/>
            </w:pP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FinancialTableItem"/>
              <w:keepNext/>
              <w:keepLines/>
              <w:spacing w:after="280"/>
            </w:pPr>
            <w:r>
              <w:t>€4,760,436</w:t>
            </w: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FinancialTableItem"/>
              <w:keepNext/>
              <w:keepLines/>
              <w:spacing w:after="280"/>
            </w:pPr>
            <w:r>
              <w:t>€17,638,500</w:t>
            </w: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FinancialTableItem"/>
              <w:keepNext/>
              <w:keepLines/>
              <w:spacing w:after="280"/>
            </w:pPr>
            <w:r>
              <w:t>€46,397,844</w:t>
            </w: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FinancialTableItem"/>
              <w:keepNext/>
              <w:keepLines/>
              <w:spacing w:after="280"/>
            </w:pPr>
            <w:r>
              <w:t>€105,336,590</w:t>
            </w:r>
          </w:p>
        </w:tc>
      </w:tr>
      <w:tr w:rsidR="0016590F" w:rsidTr="009370F1">
        <w:trPr>
          <w:cantSplit/>
          <w:trHeight w:val="214"/>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Item"/>
              <w:keepNext/>
              <w:keepLines/>
              <w:spacing w:after="280"/>
            </w:pPr>
            <w:r>
              <w:t>Earnings</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€4,760,436</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€12,878,065</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€28,759,343</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€58,938,746</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€147,776,265</w:t>
            </w:r>
          </w:p>
        </w:tc>
      </w:tr>
      <w:tr w:rsidR="0016590F" w:rsidTr="009370F1">
        <w:trPr>
          <w:cantSplit/>
          <w:trHeight w:val="257"/>
          <w:jc w:val="center"/>
        </w:trPr>
        <w:tc>
          <w:tcPr>
            <w:tcW w:w="0" w:type="auto"/>
            <w:tcBorders>
              <w:top w:val="nil"/>
              <w:left w:val="nil"/>
              <w:bottom w:val="single" w:sz="8" w:space="0" w:color="000000"/>
              <w:right w:val="nil"/>
              <w:tl2br w:val="nil"/>
              <w:tr2bl w:val="nil"/>
            </w:tcBorders>
            <w:shd w:val="clear" w:color="auto" w:fill="FFE599" w:themeFill="accent4" w:themeFillTint="66"/>
            <w:tcMar>
              <w:top w:w="60" w:type="dxa"/>
              <w:left w:w="0" w:type="dxa"/>
              <w:bottom w:w="100" w:type="dxa"/>
              <w:right w:w="0" w:type="dxa"/>
            </w:tcMar>
            <w:vAlign w:val="center"/>
          </w:tcPr>
          <w:p w:rsidR="004B110F" w:rsidRDefault="001B78B5" w:rsidP="00460C2C">
            <w:pPr>
              <w:pStyle w:val="FinancialTableGroupFooter"/>
              <w:keepNext/>
              <w:keepLines/>
              <w:spacing w:after="280"/>
            </w:pPr>
            <w:r>
              <w:t>Total Owner's Equity</w:t>
            </w:r>
          </w:p>
        </w:tc>
        <w:tc>
          <w:tcPr>
            <w:tcW w:w="0" w:type="auto"/>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€104,760,436</w:t>
            </w:r>
          </w:p>
        </w:tc>
        <w:tc>
          <w:tcPr>
            <w:tcW w:w="0" w:type="auto"/>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€117,638,500</w:t>
            </w:r>
          </w:p>
        </w:tc>
        <w:tc>
          <w:tcPr>
            <w:tcW w:w="0" w:type="auto"/>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€146,397,844</w:t>
            </w:r>
          </w:p>
        </w:tc>
        <w:tc>
          <w:tcPr>
            <w:tcW w:w="0" w:type="auto"/>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€205,336,590</w:t>
            </w:r>
          </w:p>
        </w:tc>
        <w:tc>
          <w:tcPr>
            <w:tcW w:w="0" w:type="auto"/>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€353,112,855</w:t>
            </w:r>
          </w:p>
        </w:tc>
      </w:tr>
      <w:tr w:rsidR="0016590F" w:rsidTr="009370F1">
        <w:trPr>
          <w:cantSplit/>
          <w:trHeight w:val="235"/>
          <w:jc w:val="center"/>
        </w:trPr>
        <w:tc>
          <w:tcPr>
            <w:tcW w:w="0" w:type="auto"/>
            <w:tcBorders>
              <w:top w:val="nil"/>
              <w:left w:val="nil"/>
              <w:bottom w:val="single" w:sz="8" w:space="0" w:color="000000"/>
              <w:right w:val="nil"/>
              <w:tl2br w:val="nil"/>
              <w:tr2bl w:val="nil"/>
            </w:tcBorders>
            <w:shd w:val="clear" w:color="auto" w:fill="A8D08D" w:themeFill="accent6" w:themeFillTint="99"/>
            <w:tcMar>
              <w:top w:w="60" w:type="dxa"/>
              <w:left w:w="0" w:type="dxa"/>
              <w:bottom w:w="100" w:type="dxa"/>
              <w:right w:w="0" w:type="dxa"/>
            </w:tcMar>
            <w:vAlign w:val="center"/>
          </w:tcPr>
          <w:p w:rsidR="004B110F" w:rsidRDefault="001B78B5" w:rsidP="00460C2C">
            <w:pPr>
              <w:pStyle w:val="FinancialTableGroupFooter"/>
              <w:keepNext/>
              <w:keepLines/>
              <w:spacing w:after="280"/>
            </w:pPr>
            <w:r>
              <w:t>Total Liabilities &amp; Equity</w:t>
            </w:r>
          </w:p>
        </w:tc>
        <w:tc>
          <w:tcPr>
            <w:tcW w:w="0" w:type="auto"/>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FinancialTableGroupFooter"/>
              <w:keepNext/>
              <w:keepLines/>
              <w:spacing w:after="280"/>
            </w:pPr>
            <w:r>
              <w:t>€108,048,548</w:t>
            </w:r>
          </w:p>
        </w:tc>
        <w:tc>
          <w:tcPr>
            <w:tcW w:w="0" w:type="auto"/>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FinancialTableGroupFooter"/>
              <w:keepNext/>
              <w:keepLines/>
              <w:spacing w:after="280"/>
            </w:pPr>
            <w:r>
              <w:t>€125,723,040</w:t>
            </w:r>
          </w:p>
        </w:tc>
        <w:tc>
          <w:tcPr>
            <w:tcW w:w="0" w:type="auto"/>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FinancialTableGroupFooter"/>
              <w:keepNext/>
              <w:keepLines/>
              <w:spacing w:after="280"/>
            </w:pPr>
            <w:r>
              <w:t>€163,962,001</w:t>
            </w:r>
          </w:p>
        </w:tc>
        <w:tc>
          <w:tcPr>
            <w:tcW w:w="0" w:type="auto"/>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FinancialTableGroupFooter"/>
              <w:keepNext/>
              <w:keepLines/>
              <w:spacing w:after="280"/>
            </w:pPr>
            <w:r>
              <w:t>€240,906,897</w:t>
            </w:r>
          </w:p>
        </w:tc>
        <w:tc>
          <w:tcPr>
            <w:tcW w:w="0" w:type="auto"/>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FinancialTableGroupFooter"/>
              <w:keepNext/>
              <w:keepLines/>
              <w:spacing w:after="280"/>
            </w:pPr>
            <w:r>
              <w:t>€441,097,005</w:t>
            </w:r>
          </w:p>
        </w:tc>
      </w:tr>
    </w:tbl>
    <w:p w:rsidR="00920594" w:rsidRDefault="00920594" w:rsidP="00460C2C">
      <w:pPr>
        <w:pStyle w:val="Titolo3"/>
        <w:spacing w:before="100" w:after="100"/>
        <w:rPr>
          <w:rFonts w:asciiTheme="majorHAnsi" w:hAnsiTheme="majorHAnsi"/>
          <w:szCs w:val="28"/>
        </w:rPr>
      </w:pPr>
    </w:p>
    <w:p w:rsidR="00D8640C" w:rsidRPr="00D8640C" w:rsidRDefault="00D8640C" w:rsidP="00460C2C"/>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920594" w:rsidTr="00C521BC">
        <w:trPr>
          <w:trHeight w:val="387"/>
        </w:trPr>
        <w:tc>
          <w:tcPr>
            <w:tcW w:w="9576" w:type="dxa"/>
            <w:shd w:val="clear" w:color="auto" w:fill="50D4D1"/>
            <w:vAlign w:val="center"/>
          </w:tcPr>
          <w:p w:rsidR="00920594" w:rsidRDefault="00920594" w:rsidP="00460C2C">
            <w:pPr>
              <w:pStyle w:val="Titolo3"/>
              <w:spacing w:after="280"/>
              <w:rPr>
                <w:rFonts w:asciiTheme="majorHAnsi" w:hAnsiTheme="majorHAnsi"/>
                <w:szCs w:val="28"/>
              </w:rPr>
            </w:pPr>
            <w:r w:rsidRPr="000165EE">
              <w:rPr>
                <w:rFonts w:asciiTheme="majorHAnsi" w:hAnsiTheme="majorHAnsi"/>
                <w:szCs w:val="28"/>
              </w:rPr>
              <w:lastRenderedPageBreak/>
              <w:t>Projected Balance Sheet</w:t>
            </w:r>
          </w:p>
        </w:tc>
      </w:tr>
      <w:tr w:rsidR="00920594" w:rsidTr="009A6B16">
        <w:trPr>
          <w:trHeight w:val="107"/>
        </w:trPr>
        <w:tc>
          <w:tcPr>
            <w:tcW w:w="9576" w:type="dxa"/>
            <w:shd w:val="clear" w:color="auto" w:fill="auto"/>
          </w:tcPr>
          <w:p w:rsidR="00920594" w:rsidRPr="00920594" w:rsidRDefault="00920594" w:rsidP="00460C2C">
            <w:pPr>
              <w:pStyle w:val="Titolo3"/>
              <w:spacing w:after="0" w:afterAutospacing="0" w:line="276" w:lineRule="auto"/>
              <w:rPr>
                <w:rFonts w:asciiTheme="majorHAnsi" w:hAnsiTheme="majorHAnsi"/>
                <w:sz w:val="2"/>
                <w:szCs w:val="28"/>
              </w:rPr>
            </w:pPr>
          </w:p>
        </w:tc>
      </w:tr>
    </w:tbl>
    <w:tbl>
      <w:tblPr>
        <w:tblW w:w="10034" w:type="dxa"/>
        <w:jc w:val="center"/>
        <w:tblLook w:val="04A0" w:firstRow="1" w:lastRow="0" w:firstColumn="1" w:lastColumn="0" w:noHBand="0" w:noVBand="1"/>
      </w:tblPr>
      <w:tblGrid>
        <w:gridCol w:w="3439"/>
        <w:gridCol w:w="1319"/>
        <w:gridCol w:w="1319"/>
        <w:gridCol w:w="1319"/>
        <w:gridCol w:w="1319"/>
        <w:gridCol w:w="1319"/>
      </w:tblGrid>
      <w:tr w:rsidR="0016590F" w:rsidTr="009370F1">
        <w:trPr>
          <w:cantSplit/>
          <w:trHeight w:val="282"/>
          <w:jc w:val="center"/>
        </w:trPr>
        <w:tc>
          <w:tcPr>
            <w:tcW w:w="0" w:type="auto"/>
            <w:tcBorders>
              <w:top w:val="nil"/>
              <w:left w:val="nil"/>
              <w:bottom w:val="single" w:sz="8" w:space="0" w:color="000000"/>
              <w:right w:val="nil"/>
              <w:tl2br w:val="nil"/>
              <w:tr2bl w:val="nil"/>
            </w:tcBorders>
            <w:shd w:val="clear" w:color="auto" w:fill="018BB3"/>
            <w:tcMar>
              <w:top w:w="60" w:type="dxa"/>
              <w:left w:w="0" w:type="dxa"/>
              <w:bottom w:w="100" w:type="dxa"/>
              <w:right w:w="0" w:type="dxa"/>
            </w:tcMar>
            <w:vAlign w:val="center"/>
          </w:tcPr>
          <w:p w:rsidR="004B110F" w:rsidRDefault="004B110F" w:rsidP="00460C2C">
            <w:pPr>
              <w:pStyle w:val="FinancialTableHeader"/>
              <w:keepNext/>
              <w:keepLines/>
              <w:spacing w:after="280"/>
            </w:pPr>
          </w:p>
        </w:tc>
        <w:tc>
          <w:tcPr>
            <w:tcW w:w="0" w:type="auto"/>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FinancialTableHeader"/>
              <w:keepNext/>
              <w:keepLines/>
              <w:spacing w:after="280"/>
            </w:pPr>
            <w:r>
              <w:t>2019</w:t>
            </w:r>
          </w:p>
        </w:tc>
        <w:tc>
          <w:tcPr>
            <w:tcW w:w="0" w:type="auto"/>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FinancialTableHeader"/>
              <w:keepNext/>
              <w:keepLines/>
              <w:spacing w:after="280"/>
            </w:pPr>
            <w:r>
              <w:t>2020</w:t>
            </w:r>
          </w:p>
        </w:tc>
        <w:tc>
          <w:tcPr>
            <w:tcW w:w="0" w:type="auto"/>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FinancialTableHeader"/>
              <w:keepNext/>
              <w:keepLines/>
              <w:spacing w:after="280"/>
            </w:pPr>
            <w:r>
              <w:t>2021</w:t>
            </w:r>
          </w:p>
        </w:tc>
        <w:tc>
          <w:tcPr>
            <w:tcW w:w="0" w:type="auto"/>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FinancialTableHeader"/>
              <w:keepNext/>
              <w:keepLines/>
              <w:spacing w:after="280"/>
            </w:pPr>
            <w:r>
              <w:t>2022</w:t>
            </w:r>
          </w:p>
        </w:tc>
        <w:tc>
          <w:tcPr>
            <w:tcW w:w="0" w:type="auto"/>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FinancialTableHeader"/>
              <w:keepNext/>
              <w:keepLines/>
              <w:spacing w:after="280"/>
            </w:pPr>
            <w:r>
              <w:t>2023</w:t>
            </w:r>
          </w:p>
        </w:tc>
      </w:tr>
      <w:tr w:rsidR="0016590F" w:rsidTr="009370F1">
        <w:trPr>
          <w:cantSplit/>
          <w:trHeight w:val="259"/>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GroupHeader"/>
              <w:keepNext/>
              <w:keepLines/>
              <w:spacing w:after="280"/>
            </w:pPr>
            <w:r>
              <w:t>Net Cash Flow from Operations</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GroupHeader"/>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GroupHeader"/>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GroupHeader"/>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GroupHeader"/>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GroupHeader"/>
              <w:keepNext/>
              <w:keepLines/>
              <w:spacing w:after="280"/>
            </w:pPr>
          </w:p>
        </w:tc>
      </w:tr>
      <w:tr w:rsidR="0016590F" w:rsidTr="009370F1">
        <w:trPr>
          <w:cantSplit/>
          <w:trHeight w:val="259"/>
          <w:jc w:val="center"/>
        </w:trPr>
        <w:tc>
          <w:tcPr>
            <w:tcW w:w="0" w:type="auto"/>
            <w:tcBorders>
              <w:top w:val="nil"/>
              <w:left w:val="nil"/>
              <w:bottom w:val="nil"/>
              <w:right w:val="nil"/>
              <w:tl2br w:val="nil"/>
              <w:tr2bl w:val="nil"/>
            </w:tcBorders>
            <w:shd w:val="clear" w:color="auto" w:fill="B4C6E7" w:themeFill="accent1" w:themeFillTint="66"/>
            <w:tcMar>
              <w:top w:w="60" w:type="dxa"/>
              <w:left w:w="240" w:type="dxa"/>
              <w:bottom w:w="100" w:type="dxa"/>
              <w:right w:w="0" w:type="dxa"/>
            </w:tcMar>
            <w:vAlign w:val="center"/>
          </w:tcPr>
          <w:p w:rsidR="004B110F" w:rsidRDefault="001B78B5" w:rsidP="00460C2C">
            <w:pPr>
              <w:pStyle w:val="FinancialTableGroupItem"/>
              <w:keepNext/>
              <w:keepLines/>
              <w:spacing w:after="280"/>
            </w:pPr>
            <w:r>
              <w:t>Net Profit</w:t>
            </w:r>
          </w:p>
        </w:tc>
        <w:tc>
          <w:tcPr>
            <w:tcW w:w="0" w:type="auto"/>
            <w:tcBorders>
              <w:top w:val="nil"/>
              <w:left w:val="nil"/>
              <w:bottom w:val="nil"/>
              <w:right w:val="nil"/>
              <w:tl2br w:val="nil"/>
              <w:tr2bl w:val="nil"/>
            </w:tcBorders>
            <w:shd w:val="clear" w:color="auto" w:fill="B4C6E7" w:themeFill="accent1" w:themeFillTint="66"/>
            <w:noWrap/>
            <w:tcMar>
              <w:top w:w="60" w:type="dxa"/>
              <w:left w:w="240" w:type="dxa"/>
              <w:bottom w:w="100" w:type="dxa"/>
              <w:right w:w="0" w:type="dxa"/>
            </w:tcMar>
            <w:vAlign w:val="center"/>
          </w:tcPr>
          <w:p w:rsidR="004B110F" w:rsidRDefault="001B78B5" w:rsidP="00460C2C">
            <w:pPr>
              <w:pStyle w:val="FinancialTableGroupItem"/>
              <w:keepNext/>
              <w:keepLines/>
              <w:spacing w:after="280"/>
            </w:pPr>
            <w:r>
              <w:t>€4,760,436</w:t>
            </w:r>
          </w:p>
        </w:tc>
        <w:tc>
          <w:tcPr>
            <w:tcW w:w="0" w:type="auto"/>
            <w:tcBorders>
              <w:top w:val="nil"/>
              <w:left w:val="nil"/>
              <w:bottom w:val="nil"/>
              <w:right w:val="nil"/>
              <w:tl2br w:val="nil"/>
              <w:tr2bl w:val="nil"/>
            </w:tcBorders>
            <w:shd w:val="clear" w:color="auto" w:fill="B4C6E7" w:themeFill="accent1" w:themeFillTint="66"/>
            <w:noWrap/>
            <w:tcMar>
              <w:top w:w="60" w:type="dxa"/>
              <w:left w:w="240" w:type="dxa"/>
              <w:bottom w:w="100" w:type="dxa"/>
              <w:right w:w="0" w:type="dxa"/>
            </w:tcMar>
            <w:vAlign w:val="center"/>
          </w:tcPr>
          <w:p w:rsidR="004B110F" w:rsidRDefault="001B78B5" w:rsidP="00460C2C">
            <w:pPr>
              <w:pStyle w:val="FinancialTableGroupItem"/>
              <w:keepNext/>
              <w:keepLines/>
              <w:spacing w:after="280"/>
            </w:pPr>
            <w:r>
              <w:t>€12,878,064</w:t>
            </w:r>
          </w:p>
        </w:tc>
        <w:tc>
          <w:tcPr>
            <w:tcW w:w="0" w:type="auto"/>
            <w:tcBorders>
              <w:top w:val="nil"/>
              <w:left w:val="nil"/>
              <w:bottom w:val="nil"/>
              <w:right w:val="nil"/>
              <w:tl2br w:val="nil"/>
              <w:tr2bl w:val="nil"/>
            </w:tcBorders>
            <w:shd w:val="clear" w:color="auto" w:fill="B4C6E7" w:themeFill="accent1" w:themeFillTint="66"/>
            <w:noWrap/>
            <w:tcMar>
              <w:top w:w="60" w:type="dxa"/>
              <w:left w:w="240" w:type="dxa"/>
              <w:bottom w:w="100" w:type="dxa"/>
              <w:right w:w="0" w:type="dxa"/>
            </w:tcMar>
            <w:vAlign w:val="center"/>
          </w:tcPr>
          <w:p w:rsidR="004B110F" w:rsidRDefault="001B78B5" w:rsidP="00460C2C">
            <w:pPr>
              <w:pStyle w:val="FinancialTableGroupItem"/>
              <w:keepNext/>
              <w:keepLines/>
              <w:spacing w:after="280"/>
            </w:pPr>
            <w:r>
              <w:t>€28,759,344</w:t>
            </w:r>
          </w:p>
        </w:tc>
        <w:tc>
          <w:tcPr>
            <w:tcW w:w="0" w:type="auto"/>
            <w:tcBorders>
              <w:top w:val="nil"/>
              <w:left w:val="nil"/>
              <w:bottom w:val="nil"/>
              <w:right w:val="nil"/>
              <w:tl2br w:val="nil"/>
              <w:tr2bl w:val="nil"/>
            </w:tcBorders>
            <w:shd w:val="clear" w:color="auto" w:fill="B4C6E7" w:themeFill="accent1" w:themeFillTint="66"/>
            <w:noWrap/>
            <w:tcMar>
              <w:top w:w="60" w:type="dxa"/>
              <w:left w:w="240" w:type="dxa"/>
              <w:bottom w:w="100" w:type="dxa"/>
              <w:right w:w="0" w:type="dxa"/>
            </w:tcMar>
            <w:vAlign w:val="center"/>
          </w:tcPr>
          <w:p w:rsidR="004B110F" w:rsidRDefault="001B78B5" w:rsidP="00460C2C">
            <w:pPr>
              <w:pStyle w:val="FinancialTableGroupItem"/>
              <w:keepNext/>
              <w:keepLines/>
              <w:spacing w:after="280"/>
            </w:pPr>
            <w:r>
              <w:t>€58,938,746</w:t>
            </w:r>
          </w:p>
        </w:tc>
        <w:tc>
          <w:tcPr>
            <w:tcW w:w="0" w:type="auto"/>
            <w:tcBorders>
              <w:top w:val="nil"/>
              <w:left w:val="nil"/>
              <w:bottom w:val="nil"/>
              <w:right w:val="nil"/>
              <w:tl2br w:val="nil"/>
              <w:tr2bl w:val="nil"/>
            </w:tcBorders>
            <w:shd w:val="clear" w:color="auto" w:fill="B4C6E7" w:themeFill="accent1" w:themeFillTint="66"/>
            <w:noWrap/>
            <w:tcMar>
              <w:top w:w="60" w:type="dxa"/>
              <w:left w:w="240" w:type="dxa"/>
              <w:bottom w:w="100" w:type="dxa"/>
              <w:right w:w="0" w:type="dxa"/>
            </w:tcMar>
            <w:vAlign w:val="center"/>
          </w:tcPr>
          <w:p w:rsidR="004B110F" w:rsidRDefault="001B78B5" w:rsidP="00460C2C">
            <w:pPr>
              <w:pStyle w:val="FinancialTableGroupItem"/>
              <w:keepNext/>
              <w:keepLines/>
              <w:spacing w:after="280"/>
            </w:pPr>
            <w:r>
              <w:t>€147,776,265</w:t>
            </w:r>
          </w:p>
        </w:tc>
      </w:tr>
      <w:tr w:rsidR="0016590F" w:rsidTr="009370F1">
        <w:trPr>
          <w:cantSplit/>
          <w:trHeight w:val="235"/>
          <w:jc w:val="center"/>
        </w:trPr>
        <w:tc>
          <w:tcPr>
            <w:tcW w:w="0" w:type="auto"/>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4B110F" w:rsidRDefault="001B78B5" w:rsidP="00460C2C">
            <w:pPr>
              <w:pStyle w:val="FinancialTableGroupItem"/>
              <w:keepNext/>
              <w:keepLines/>
              <w:spacing w:after="280"/>
            </w:pPr>
            <w:r>
              <w:t>Depreciation &amp; Amortization</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€504,651</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€545,873</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€618,161</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€676,579</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€750,849</w:t>
            </w:r>
          </w:p>
        </w:tc>
      </w:tr>
      <w:tr w:rsidR="0016590F" w:rsidTr="009370F1">
        <w:trPr>
          <w:cantSplit/>
          <w:trHeight w:val="259"/>
          <w:jc w:val="center"/>
        </w:trPr>
        <w:tc>
          <w:tcPr>
            <w:tcW w:w="0" w:type="auto"/>
            <w:tcBorders>
              <w:top w:val="nil"/>
              <w:left w:val="nil"/>
              <w:bottom w:val="nil"/>
              <w:right w:val="nil"/>
              <w:tl2br w:val="nil"/>
              <w:tr2bl w:val="nil"/>
            </w:tcBorders>
            <w:shd w:val="clear" w:color="auto" w:fill="D0CECE" w:themeFill="background2" w:themeFillShade="E6"/>
            <w:tcMar>
              <w:top w:w="60" w:type="dxa"/>
              <w:left w:w="240" w:type="dxa"/>
              <w:bottom w:w="100" w:type="dxa"/>
              <w:right w:w="0" w:type="dxa"/>
            </w:tcMar>
            <w:vAlign w:val="center"/>
          </w:tcPr>
          <w:p w:rsidR="004B110F" w:rsidRDefault="001B78B5" w:rsidP="00460C2C">
            <w:pPr>
              <w:pStyle w:val="FinancialTableGroupItem"/>
              <w:keepNext/>
              <w:keepLines/>
              <w:spacing w:after="280"/>
            </w:pPr>
            <w:r>
              <w:t>Change in Accounts Receivable</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€0</w:t>
            </w:r>
          </w:p>
        </w:tc>
      </w:tr>
      <w:tr w:rsidR="0016590F" w:rsidTr="009370F1">
        <w:trPr>
          <w:cantSplit/>
          <w:trHeight w:val="235"/>
          <w:jc w:val="center"/>
        </w:trPr>
        <w:tc>
          <w:tcPr>
            <w:tcW w:w="0" w:type="auto"/>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4B110F" w:rsidRDefault="001B78B5" w:rsidP="00460C2C">
            <w:pPr>
              <w:pStyle w:val="FinancialTableGroupItem"/>
              <w:keepNext/>
              <w:keepLines/>
              <w:spacing w:after="280"/>
            </w:pPr>
            <w:r>
              <w:t>Change in Inventory</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r>
      <w:tr w:rsidR="0016590F" w:rsidTr="009370F1">
        <w:trPr>
          <w:cantSplit/>
          <w:trHeight w:val="235"/>
          <w:jc w:val="center"/>
        </w:trPr>
        <w:tc>
          <w:tcPr>
            <w:tcW w:w="0" w:type="auto"/>
            <w:tcBorders>
              <w:top w:val="nil"/>
              <w:left w:val="nil"/>
              <w:bottom w:val="nil"/>
              <w:right w:val="nil"/>
              <w:tl2br w:val="nil"/>
              <w:tr2bl w:val="nil"/>
            </w:tcBorders>
            <w:shd w:val="clear" w:color="auto" w:fill="D0CECE" w:themeFill="background2" w:themeFillShade="E6"/>
            <w:tcMar>
              <w:top w:w="60" w:type="dxa"/>
              <w:left w:w="240" w:type="dxa"/>
              <w:bottom w:w="100" w:type="dxa"/>
              <w:right w:w="0" w:type="dxa"/>
            </w:tcMar>
            <w:vAlign w:val="center"/>
          </w:tcPr>
          <w:p w:rsidR="004B110F" w:rsidRDefault="001B78B5" w:rsidP="00460C2C">
            <w:pPr>
              <w:pStyle w:val="FinancialTableGroupItem"/>
              <w:keepNext/>
              <w:keepLines/>
              <w:spacing w:after="280"/>
            </w:pPr>
            <w:r>
              <w:t>Change in Accounts Payable</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€0</w:t>
            </w:r>
          </w:p>
        </w:tc>
      </w:tr>
      <w:tr w:rsidR="0016590F" w:rsidTr="009370F1">
        <w:trPr>
          <w:cantSplit/>
          <w:trHeight w:val="259"/>
          <w:jc w:val="center"/>
        </w:trPr>
        <w:tc>
          <w:tcPr>
            <w:tcW w:w="0" w:type="auto"/>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4B110F" w:rsidRDefault="001B78B5" w:rsidP="00460C2C">
            <w:pPr>
              <w:pStyle w:val="FinancialTableGroupItem"/>
              <w:keepNext/>
              <w:keepLines/>
              <w:spacing w:after="280"/>
            </w:pPr>
            <w:r>
              <w:t>Change in Income Tax Payable</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€2,563,312</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€4,371,030</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€8,551,458</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€16,250,449</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€47,835,586</w:t>
            </w:r>
          </w:p>
        </w:tc>
      </w:tr>
      <w:tr w:rsidR="0016590F" w:rsidTr="009370F1">
        <w:trPr>
          <w:cantSplit/>
          <w:trHeight w:val="235"/>
          <w:jc w:val="center"/>
        </w:trPr>
        <w:tc>
          <w:tcPr>
            <w:tcW w:w="0" w:type="auto"/>
            <w:tcBorders>
              <w:top w:val="nil"/>
              <w:left w:val="nil"/>
              <w:bottom w:val="nil"/>
              <w:right w:val="nil"/>
              <w:tl2br w:val="nil"/>
              <w:tr2bl w:val="nil"/>
            </w:tcBorders>
            <w:shd w:val="clear" w:color="auto" w:fill="D0CECE" w:themeFill="background2" w:themeFillShade="E6"/>
            <w:tcMar>
              <w:top w:w="60" w:type="dxa"/>
              <w:left w:w="240" w:type="dxa"/>
              <w:bottom w:w="100" w:type="dxa"/>
              <w:right w:w="0" w:type="dxa"/>
            </w:tcMar>
            <w:vAlign w:val="center"/>
          </w:tcPr>
          <w:p w:rsidR="004B110F" w:rsidRDefault="001B78B5" w:rsidP="00460C2C">
            <w:pPr>
              <w:pStyle w:val="FinancialTableGroupItem"/>
              <w:keepNext/>
              <w:keepLines/>
              <w:spacing w:after="280"/>
            </w:pPr>
            <w:r>
              <w:t>Change in Sales Tax Payable</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€724,800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€425,398</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€928,159</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€1,755,701</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€4,578,257</w:t>
            </w:r>
          </w:p>
        </w:tc>
      </w:tr>
      <w:tr w:rsidR="0016590F" w:rsidTr="009370F1">
        <w:trPr>
          <w:cantSplit/>
          <w:trHeight w:val="259"/>
          <w:jc w:val="center"/>
        </w:trPr>
        <w:tc>
          <w:tcPr>
            <w:tcW w:w="0" w:type="auto"/>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4B110F" w:rsidRDefault="001B78B5" w:rsidP="00460C2C">
            <w:pPr>
              <w:pStyle w:val="FinancialTableGroupItem"/>
              <w:keepNext/>
              <w:keepLines/>
              <w:spacing w:after="280"/>
            </w:pPr>
            <w:r>
              <w:t>Change in Prepaid Revenue</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r>
      <w:tr w:rsidR="0016590F" w:rsidTr="009370F1">
        <w:trPr>
          <w:cantSplit/>
          <w:trHeight w:val="259"/>
          <w:jc w:val="center"/>
        </w:trPr>
        <w:tc>
          <w:tcPr>
            <w:tcW w:w="0" w:type="auto"/>
            <w:tcBorders>
              <w:top w:val="nil"/>
              <w:left w:val="nil"/>
              <w:bottom w:val="single" w:sz="8" w:space="0" w:color="000000"/>
              <w:right w:val="nil"/>
              <w:tl2br w:val="nil"/>
              <w:tr2bl w:val="nil"/>
            </w:tcBorders>
            <w:shd w:val="clear" w:color="auto" w:fill="FFE599" w:themeFill="accent4" w:themeFillTint="66"/>
            <w:tcMar>
              <w:top w:w="60" w:type="dxa"/>
              <w:left w:w="0" w:type="dxa"/>
              <w:bottom w:w="100" w:type="dxa"/>
              <w:right w:w="0" w:type="dxa"/>
            </w:tcMar>
            <w:vAlign w:val="center"/>
          </w:tcPr>
          <w:p w:rsidR="004B110F" w:rsidRDefault="001B78B5" w:rsidP="00460C2C">
            <w:pPr>
              <w:pStyle w:val="FinancialTableGroupFooter"/>
              <w:keepNext/>
              <w:keepLines/>
              <w:spacing w:after="280"/>
            </w:pPr>
            <w:r>
              <w:t>Net Cash Flow from Operations</w:t>
            </w:r>
          </w:p>
        </w:tc>
        <w:tc>
          <w:tcPr>
            <w:tcW w:w="0" w:type="auto"/>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€8,553,199</w:t>
            </w:r>
          </w:p>
        </w:tc>
        <w:tc>
          <w:tcPr>
            <w:tcW w:w="0" w:type="auto"/>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€18,220,366</w:t>
            </w:r>
          </w:p>
        </w:tc>
        <w:tc>
          <w:tcPr>
            <w:tcW w:w="0" w:type="auto"/>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€38,857,121</w:t>
            </w:r>
          </w:p>
        </w:tc>
        <w:tc>
          <w:tcPr>
            <w:tcW w:w="0" w:type="auto"/>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€77,621,476</w:t>
            </w:r>
          </w:p>
        </w:tc>
        <w:tc>
          <w:tcPr>
            <w:tcW w:w="0" w:type="auto"/>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FinancialTableGroupFooter"/>
              <w:keepNext/>
              <w:keepLines/>
              <w:spacing w:after="280"/>
            </w:pPr>
            <w:r>
              <w:t>€200,940,958</w:t>
            </w:r>
          </w:p>
        </w:tc>
      </w:tr>
      <w:tr w:rsidR="0016590F" w:rsidTr="009370F1">
        <w:trPr>
          <w:cantSplit/>
          <w:trHeight w:val="282"/>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GroupHeader"/>
              <w:keepNext/>
              <w:keepLines/>
              <w:spacing w:after="280"/>
            </w:pPr>
            <w:r>
              <w:t>Investing &amp; Financing</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GroupHeader"/>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GroupHeader"/>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GroupHeader"/>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GroupHeader"/>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FinancialTableGroupHeader"/>
              <w:keepNext/>
              <w:keepLines/>
              <w:spacing w:after="280"/>
            </w:pPr>
          </w:p>
        </w:tc>
      </w:tr>
      <w:tr w:rsidR="0016590F" w:rsidTr="009370F1">
        <w:trPr>
          <w:cantSplit/>
          <w:trHeight w:val="235"/>
          <w:jc w:val="center"/>
        </w:trPr>
        <w:tc>
          <w:tcPr>
            <w:tcW w:w="0" w:type="auto"/>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4B110F" w:rsidRDefault="001B78B5" w:rsidP="00460C2C">
            <w:pPr>
              <w:pStyle w:val="FinancialTableGroupItem"/>
              <w:keepNext/>
              <w:keepLines/>
              <w:spacing w:after="280"/>
            </w:pPr>
            <w:r>
              <w:t>Assets Purchased or Sold</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(€6,506,000)</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(€470,000)</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(€485,000)</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(€510,000)</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1B78B5" w:rsidP="00460C2C">
            <w:pPr>
              <w:pStyle w:val="FinancialTableGroupItem"/>
              <w:keepNext/>
              <w:keepLines/>
              <w:spacing w:after="280"/>
            </w:pPr>
            <w:r>
              <w:t>(€540,000)</w:t>
            </w:r>
          </w:p>
        </w:tc>
      </w:tr>
      <w:tr w:rsidR="0016590F" w:rsidTr="009370F1">
        <w:trPr>
          <w:cantSplit/>
          <w:trHeight w:val="259"/>
          <w:jc w:val="center"/>
        </w:trPr>
        <w:tc>
          <w:tcPr>
            <w:tcW w:w="0" w:type="auto"/>
            <w:tcBorders>
              <w:top w:val="nil"/>
              <w:left w:val="nil"/>
              <w:bottom w:val="nil"/>
              <w:right w:val="nil"/>
              <w:tl2br w:val="nil"/>
              <w:tr2bl w:val="nil"/>
            </w:tcBorders>
            <w:shd w:val="clear" w:color="auto" w:fill="D0CECE" w:themeFill="background2" w:themeFillShade="E6"/>
            <w:tcMar>
              <w:top w:w="60" w:type="dxa"/>
              <w:left w:w="240" w:type="dxa"/>
              <w:bottom w:w="100" w:type="dxa"/>
              <w:right w:w="0" w:type="dxa"/>
            </w:tcMar>
            <w:vAlign w:val="center"/>
          </w:tcPr>
          <w:p w:rsidR="004B110F" w:rsidRDefault="001B78B5" w:rsidP="00460C2C">
            <w:pPr>
              <w:pStyle w:val="FinancialTableGroupItem"/>
              <w:keepNext/>
              <w:keepLines/>
              <w:spacing w:after="280"/>
            </w:pPr>
            <w:r>
              <w:t>Investments Received</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1B78B5" w:rsidP="00460C2C">
            <w:pPr>
              <w:pStyle w:val="FinancialTableGroupItem"/>
              <w:keepNext/>
              <w:keepLines/>
              <w:spacing w:after="280"/>
            </w:pPr>
            <w:r>
              <w:t>€100,000,000</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r>
      <w:tr w:rsidR="0016590F" w:rsidTr="009370F1">
        <w:trPr>
          <w:cantSplit/>
          <w:trHeight w:val="235"/>
          <w:jc w:val="center"/>
        </w:trPr>
        <w:tc>
          <w:tcPr>
            <w:tcW w:w="0" w:type="auto"/>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4B110F" w:rsidRDefault="001B78B5" w:rsidP="00460C2C">
            <w:pPr>
              <w:pStyle w:val="FinancialTableGroupItem"/>
              <w:keepNext/>
              <w:keepLines/>
              <w:spacing w:after="280"/>
            </w:pPr>
            <w:r>
              <w:t>Change in Long-Term Debt</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r>
      <w:tr w:rsidR="0016590F" w:rsidTr="009370F1">
        <w:trPr>
          <w:cantSplit/>
          <w:trHeight w:val="259"/>
          <w:jc w:val="center"/>
        </w:trPr>
        <w:tc>
          <w:tcPr>
            <w:tcW w:w="0" w:type="auto"/>
            <w:tcBorders>
              <w:top w:val="nil"/>
              <w:left w:val="nil"/>
              <w:bottom w:val="nil"/>
              <w:right w:val="nil"/>
              <w:tl2br w:val="nil"/>
              <w:tr2bl w:val="nil"/>
            </w:tcBorders>
            <w:shd w:val="clear" w:color="auto" w:fill="D0CECE" w:themeFill="background2" w:themeFillShade="E6"/>
            <w:tcMar>
              <w:top w:w="60" w:type="dxa"/>
              <w:left w:w="240" w:type="dxa"/>
              <w:bottom w:w="100" w:type="dxa"/>
              <w:right w:w="0" w:type="dxa"/>
            </w:tcMar>
            <w:vAlign w:val="center"/>
          </w:tcPr>
          <w:p w:rsidR="004B110F" w:rsidRDefault="001B78B5" w:rsidP="00460C2C">
            <w:pPr>
              <w:pStyle w:val="FinancialTableGroupItem"/>
              <w:keepNext/>
              <w:keepLines/>
              <w:spacing w:after="280"/>
            </w:pPr>
            <w:r>
              <w:t xml:space="preserve">Change in </w:t>
            </w:r>
            <w:r w:rsidRPr="007208E6">
              <w:rPr>
                <w:noProof/>
              </w:rPr>
              <w:t>Short-Term</w:t>
            </w:r>
            <w:r>
              <w:t xml:space="preserve"> Debt</w:t>
            </w: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c>
          <w:tcPr>
            <w:tcW w:w="0" w:type="auto"/>
            <w:tcBorders>
              <w:top w:val="nil"/>
              <w:left w:val="nil"/>
              <w:bottom w:val="nil"/>
              <w:right w:val="nil"/>
              <w:tl2br w:val="nil"/>
              <w:tr2bl w:val="nil"/>
            </w:tcBorders>
            <w:shd w:val="clear" w:color="auto" w:fill="D0CECE" w:themeFill="background2" w:themeFillShade="E6"/>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r>
      <w:tr w:rsidR="0016590F" w:rsidTr="009370F1">
        <w:trPr>
          <w:cantSplit/>
          <w:trHeight w:val="235"/>
          <w:jc w:val="center"/>
        </w:trPr>
        <w:tc>
          <w:tcPr>
            <w:tcW w:w="0" w:type="auto"/>
            <w:tcBorders>
              <w:top w:val="nil"/>
              <w:left w:val="nil"/>
              <w:bottom w:val="nil"/>
              <w:right w:val="nil"/>
              <w:tl2br w:val="nil"/>
              <w:tr2bl w:val="nil"/>
            </w:tcBorders>
            <w:shd w:val="clear" w:color="auto" w:fill="auto"/>
            <w:tcMar>
              <w:top w:w="60" w:type="dxa"/>
              <w:left w:w="240" w:type="dxa"/>
              <w:bottom w:w="100" w:type="dxa"/>
              <w:right w:w="0" w:type="dxa"/>
            </w:tcMar>
            <w:vAlign w:val="center"/>
          </w:tcPr>
          <w:p w:rsidR="004B110F" w:rsidRDefault="001B78B5" w:rsidP="00460C2C">
            <w:pPr>
              <w:pStyle w:val="FinancialTableGroupItem"/>
              <w:keepNext/>
              <w:keepLines/>
              <w:spacing w:after="280"/>
            </w:pPr>
            <w:r>
              <w:t>Dividends &amp; Distributions</w:t>
            </w: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c>
          <w:tcPr>
            <w:tcW w:w="0" w:type="auto"/>
            <w:tcBorders>
              <w:top w:val="nil"/>
              <w:left w:val="nil"/>
              <w:bottom w:val="nil"/>
              <w:right w:val="nil"/>
              <w:tl2br w:val="nil"/>
              <w:tr2bl w:val="nil"/>
            </w:tcBorders>
            <w:shd w:val="clear" w:color="auto" w:fill="auto"/>
            <w:noWrap/>
            <w:tcMar>
              <w:top w:w="60" w:type="dxa"/>
              <w:left w:w="240" w:type="dxa"/>
              <w:bottom w:w="100" w:type="dxa"/>
              <w:right w:w="0" w:type="dxa"/>
            </w:tcMar>
            <w:vAlign w:val="center"/>
          </w:tcPr>
          <w:p w:rsidR="004B110F" w:rsidRDefault="004B110F" w:rsidP="00460C2C">
            <w:pPr>
              <w:pStyle w:val="FinancialTableGroupItem"/>
              <w:keepNext/>
              <w:keepLines/>
              <w:spacing w:after="280"/>
            </w:pPr>
          </w:p>
        </w:tc>
      </w:tr>
      <w:tr w:rsidR="0016590F" w:rsidTr="009370F1">
        <w:trPr>
          <w:cantSplit/>
          <w:trHeight w:val="565"/>
          <w:jc w:val="center"/>
        </w:trPr>
        <w:tc>
          <w:tcPr>
            <w:tcW w:w="0" w:type="auto"/>
            <w:tcBorders>
              <w:top w:val="nil"/>
              <w:left w:val="nil"/>
              <w:bottom w:val="single" w:sz="8" w:space="0" w:color="000000"/>
              <w:right w:val="nil"/>
              <w:tl2br w:val="nil"/>
              <w:tr2bl w:val="nil"/>
            </w:tcBorders>
            <w:shd w:val="clear" w:color="auto" w:fill="FFD966" w:themeFill="accent4" w:themeFillTint="99"/>
            <w:tcMar>
              <w:top w:w="60" w:type="dxa"/>
              <w:left w:w="0" w:type="dxa"/>
              <w:bottom w:w="100" w:type="dxa"/>
              <w:right w:w="0" w:type="dxa"/>
            </w:tcMar>
            <w:vAlign w:val="center"/>
          </w:tcPr>
          <w:p w:rsidR="004B110F" w:rsidRDefault="001B78B5" w:rsidP="00460C2C">
            <w:pPr>
              <w:pStyle w:val="FinancialTableGroupFooter"/>
              <w:keepNext/>
              <w:keepLines/>
              <w:spacing w:after="280"/>
            </w:pPr>
            <w:r>
              <w:t>Net Cash Flow from Investing &amp; Financing</w:t>
            </w:r>
          </w:p>
        </w:tc>
        <w:tc>
          <w:tcPr>
            <w:tcW w:w="0" w:type="auto"/>
            <w:tcBorders>
              <w:top w:val="nil"/>
              <w:left w:val="nil"/>
              <w:bottom w:val="single" w:sz="8" w:space="0" w:color="000000"/>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FinancialTableGroupFooter"/>
              <w:keepNext/>
              <w:keepLines/>
              <w:spacing w:after="280"/>
            </w:pPr>
            <w:r>
              <w:t>€93,494,000</w:t>
            </w:r>
          </w:p>
        </w:tc>
        <w:tc>
          <w:tcPr>
            <w:tcW w:w="0" w:type="auto"/>
            <w:tcBorders>
              <w:top w:val="nil"/>
              <w:left w:val="nil"/>
              <w:bottom w:val="single" w:sz="8" w:space="0" w:color="000000"/>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FinancialTableGroupFooter"/>
              <w:keepNext/>
              <w:keepLines/>
              <w:spacing w:after="280"/>
            </w:pPr>
            <w:r>
              <w:t>(€470,000)</w:t>
            </w:r>
          </w:p>
        </w:tc>
        <w:tc>
          <w:tcPr>
            <w:tcW w:w="0" w:type="auto"/>
            <w:tcBorders>
              <w:top w:val="nil"/>
              <w:left w:val="nil"/>
              <w:bottom w:val="single" w:sz="8" w:space="0" w:color="000000"/>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FinancialTableGroupFooter"/>
              <w:keepNext/>
              <w:keepLines/>
              <w:spacing w:after="280"/>
            </w:pPr>
            <w:r>
              <w:t>(€485,000)</w:t>
            </w:r>
          </w:p>
        </w:tc>
        <w:tc>
          <w:tcPr>
            <w:tcW w:w="0" w:type="auto"/>
            <w:tcBorders>
              <w:top w:val="nil"/>
              <w:left w:val="nil"/>
              <w:bottom w:val="single" w:sz="8" w:space="0" w:color="000000"/>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FinancialTableGroupFooter"/>
              <w:keepNext/>
              <w:keepLines/>
              <w:spacing w:after="280"/>
            </w:pPr>
            <w:r>
              <w:t>(€510,000)</w:t>
            </w:r>
          </w:p>
        </w:tc>
        <w:tc>
          <w:tcPr>
            <w:tcW w:w="0" w:type="auto"/>
            <w:tcBorders>
              <w:top w:val="nil"/>
              <w:left w:val="nil"/>
              <w:bottom w:val="single" w:sz="8" w:space="0" w:color="000000"/>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FinancialTableGroupFooter"/>
              <w:keepNext/>
              <w:keepLines/>
              <w:spacing w:after="280"/>
            </w:pPr>
            <w:r>
              <w:t>(€540,000)</w:t>
            </w:r>
          </w:p>
        </w:tc>
      </w:tr>
      <w:tr w:rsidR="0016590F" w:rsidTr="009370F1">
        <w:trPr>
          <w:cantSplit/>
          <w:trHeight w:val="235"/>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Item"/>
              <w:keepNext/>
              <w:keepLines/>
              <w:spacing w:after="280"/>
            </w:pPr>
            <w:r>
              <w:t>Cash at Beginning of Period</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€102,047,199</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€119,797,564</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€158,169,685</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€235,281,161</w:t>
            </w:r>
          </w:p>
        </w:tc>
      </w:tr>
      <w:tr w:rsidR="0016590F" w:rsidTr="009370F1">
        <w:trPr>
          <w:cantSplit/>
          <w:trHeight w:val="235"/>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FinancialTableItem"/>
              <w:keepNext/>
              <w:keepLines/>
              <w:spacing w:after="280"/>
            </w:pPr>
            <w:r>
              <w:t>Net Change in Cash</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€102,047,199</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€17,750,366</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€38,372,121</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€77,111,476</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FinancialTableItem"/>
              <w:keepNext/>
              <w:keepLines/>
              <w:spacing w:after="280"/>
            </w:pPr>
            <w:r>
              <w:t>€200,400,958</w:t>
            </w:r>
          </w:p>
        </w:tc>
      </w:tr>
      <w:tr w:rsidR="0016590F" w:rsidTr="009370F1">
        <w:trPr>
          <w:cantSplit/>
          <w:trHeight w:val="282"/>
          <w:jc w:val="center"/>
        </w:trPr>
        <w:tc>
          <w:tcPr>
            <w:tcW w:w="0" w:type="auto"/>
            <w:tcBorders>
              <w:top w:val="nil"/>
              <w:left w:val="nil"/>
              <w:bottom w:val="single" w:sz="8" w:space="0" w:color="000000"/>
              <w:right w:val="nil"/>
              <w:tl2br w:val="nil"/>
              <w:tr2bl w:val="nil"/>
            </w:tcBorders>
            <w:shd w:val="clear" w:color="auto" w:fill="A8D08D" w:themeFill="accent6" w:themeFillTint="99"/>
            <w:tcMar>
              <w:top w:w="60" w:type="dxa"/>
              <w:left w:w="0" w:type="dxa"/>
              <w:bottom w:w="100" w:type="dxa"/>
              <w:right w:w="0" w:type="dxa"/>
            </w:tcMar>
            <w:vAlign w:val="center"/>
          </w:tcPr>
          <w:p w:rsidR="004B110F" w:rsidRDefault="001B78B5" w:rsidP="00460C2C">
            <w:pPr>
              <w:pStyle w:val="FinancialTableGroupFooter"/>
              <w:keepNext/>
              <w:keepLines/>
              <w:spacing w:after="280"/>
            </w:pPr>
            <w:r>
              <w:t>Cash at End of Period</w:t>
            </w:r>
          </w:p>
        </w:tc>
        <w:tc>
          <w:tcPr>
            <w:tcW w:w="0" w:type="auto"/>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FinancialTableGroupFooter"/>
              <w:keepNext/>
              <w:keepLines/>
              <w:spacing w:after="280"/>
            </w:pPr>
            <w:r>
              <w:t>€102,047,199</w:t>
            </w:r>
          </w:p>
        </w:tc>
        <w:tc>
          <w:tcPr>
            <w:tcW w:w="0" w:type="auto"/>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FinancialTableGroupFooter"/>
              <w:keepNext/>
              <w:keepLines/>
              <w:spacing w:after="280"/>
            </w:pPr>
            <w:r>
              <w:t>€119,797,564</w:t>
            </w:r>
          </w:p>
        </w:tc>
        <w:tc>
          <w:tcPr>
            <w:tcW w:w="0" w:type="auto"/>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FinancialTableGroupFooter"/>
              <w:keepNext/>
              <w:keepLines/>
              <w:spacing w:after="280"/>
            </w:pPr>
            <w:r>
              <w:t>€158,169,685</w:t>
            </w:r>
          </w:p>
        </w:tc>
        <w:tc>
          <w:tcPr>
            <w:tcW w:w="0" w:type="auto"/>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FinancialTableGroupFooter"/>
              <w:keepNext/>
              <w:keepLines/>
              <w:spacing w:after="280"/>
            </w:pPr>
            <w:r>
              <w:t>€235,281,161</w:t>
            </w:r>
          </w:p>
        </w:tc>
        <w:tc>
          <w:tcPr>
            <w:tcW w:w="0" w:type="auto"/>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FinancialTableGroupFooter"/>
              <w:keepNext/>
              <w:keepLines/>
              <w:spacing w:after="280"/>
            </w:pPr>
            <w:r>
              <w:t>€435,682,118</w:t>
            </w:r>
          </w:p>
        </w:tc>
      </w:tr>
    </w:tbl>
    <w:p w:rsidR="004B110F" w:rsidRPr="00046E2B" w:rsidRDefault="00B82CA7" w:rsidP="00460C2C">
      <w:pPr>
        <w:pStyle w:val="Titolo3"/>
        <w:spacing w:after="280"/>
        <w:rPr>
          <w:rFonts w:asciiTheme="majorHAnsi" w:hAnsiTheme="majorHAnsi"/>
          <w:color w:val="FF0000"/>
          <w:szCs w:val="28"/>
        </w:rPr>
      </w:pPr>
      <w:r w:rsidRPr="00046E2B">
        <w:rPr>
          <w:rFonts w:asciiTheme="majorHAnsi" w:hAnsiTheme="majorHAnsi"/>
          <w:color w:val="FF0000"/>
          <w:szCs w:val="28"/>
        </w:rPr>
        <w:t>SWOT ANALYSIS</w:t>
      </w:r>
    </w:p>
    <w:p w:rsidR="004B110F" w:rsidRPr="00046E2B" w:rsidRDefault="00B82CA7" w:rsidP="00460C2C">
      <w:pPr>
        <w:pStyle w:val="Titolo3"/>
        <w:spacing w:after="280"/>
        <w:rPr>
          <w:rFonts w:asciiTheme="majorHAnsi" w:hAnsiTheme="majorHAnsi"/>
          <w:color w:val="FF0000"/>
          <w:szCs w:val="28"/>
        </w:rPr>
      </w:pPr>
      <w:r w:rsidRPr="00046E2B">
        <w:rPr>
          <w:rFonts w:asciiTheme="majorHAnsi" w:hAnsiTheme="majorHAnsi"/>
          <w:color w:val="FF0000"/>
          <w:szCs w:val="28"/>
        </w:rPr>
        <w:t>RISKS &amp; MITIGATION</w:t>
      </w:r>
    </w:p>
    <w:p w:rsidR="004B110F" w:rsidRPr="00046E2B" w:rsidRDefault="004B110F" w:rsidP="00460C2C">
      <w:pPr>
        <w:pStyle w:val="Titolo3"/>
        <w:keepNext w:val="0"/>
        <w:spacing w:after="280"/>
        <w:rPr>
          <w:color w:val="FF0000"/>
        </w:rPr>
        <w:sectPr w:rsidR="004B110F" w:rsidRPr="00046E2B" w:rsidSect="00682692">
          <w:headerReference w:type="even" r:id="rId43"/>
          <w:headerReference w:type="default" r:id="rId44"/>
          <w:footerReference w:type="even" r:id="rId45"/>
          <w:footerReference w:type="default" r:id="rId46"/>
          <w:headerReference w:type="first" r:id="rId47"/>
          <w:footerReference w:type="first" r:id="rId48"/>
          <w:pgSz w:w="12240" w:h="15840"/>
          <w:pgMar w:top="1008" w:right="1152" w:bottom="1008" w:left="1152" w:header="706" w:footer="576" w:gutter="0"/>
          <w:pgNumType w:start="1"/>
          <w:cols w:space="708"/>
          <w:docGrid w:linePitch="360"/>
        </w:sectPr>
      </w:pPr>
    </w:p>
    <w:tbl>
      <w:tblPr>
        <w:tblStyle w:val="Grigliatabella"/>
        <w:tblW w:w="0" w:type="auto"/>
        <w:tblBorders>
          <w:top w:val="none" w:sz="0" w:space="0" w:color="auto"/>
          <w:left w:val="none" w:sz="0" w:space="0" w:color="auto"/>
          <w:bottom w:val="single" w:sz="12" w:space="0" w:color="018BB3"/>
          <w:right w:val="none" w:sz="0" w:space="0" w:color="auto"/>
          <w:insideH w:val="single" w:sz="12" w:space="0" w:color="018BB3"/>
          <w:insideV w:val="single" w:sz="12" w:space="0" w:color="018BB3"/>
        </w:tblBorders>
        <w:tblLook w:val="04A0" w:firstRow="1" w:lastRow="0" w:firstColumn="1" w:lastColumn="0" w:noHBand="0" w:noVBand="1"/>
      </w:tblPr>
      <w:tblGrid>
        <w:gridCol w:w="12960"/>
      </w:tblGrid>
      <w:tr w:rsidR="00B50DB3" w:rsidTr="00B50DB3">
        <w:trPr>
          <w:trHeight w:val="585"/>
        </w:trPr>
        <w:tc>
          <w:tcPr>
            <w:tcW w:w="13176" w:type="dxa"/>
          </w:tcPr>
          <w:p w:rsidR="00B50DB3" w:rsidRPr="00C521BC" w:rsidRDefault="00B50DB3" w:rsidP="00460C2C">
            <w:pPr>
              <w:pStyle w:val="Titolo1"/>
              <w:spacing w:after="280"/>
              <w:rPr>
                <w:rFonts w:ascii="Franklin Gothic Demi" w:hAnsi="Franklin Gothic Demi"/>
                <w:color w:val="018BB3"/>
                <w:spacing w:val="26"/>
              </w:rPr>
            </w:pPr>
            <w:bookmarkStart w:id="96" w:name="_Toc523440007"/>
            <w:bookmarkStart w:id="97" w:name="_Toc256000075"/>
            <w:bookmarkStart w:id="98" w:name="_Toc256000056"/>
            <w:bookmarkStart w:id="99" w:name="_Toc256000037"/>
            <w:bookmarkStart w:id="100" w:name="_Toc256000018"/>
            <w:r w:rsidRPr="00C521BC">
              <w:rPr>
                <w:rFonts w:ascii="Franklin Gothic Demi" w:hAnsi="Franklin Gothic Demi"/>
                <w:color w:val="018BB3"/>
                <w:spacing w:val="26"/>
              </w:rPr>
              <w:lastRenderedPageBreak/>
              <w:t>Appendix</w:t>
            </w:r>
            <w:bookmarkEnd w:id="96"/>
          </w:p>
        </w:tc>
      </w:tr>
    </w:tbl>
    <w:p w:rsidR="004B110F" w:rsidRPr="003C15AA" w:rsidRDefault="001B78B5" w:rsidP="00460C2C">
      <w:pPr>
        <w:pStyle w:val="Titolo2"/>
        <w:rPr>
          <w:rFonts w:ascii="Franklin Gothic Demi" w:eastAsia="Times New Roman" w:hAnsi="Franklin Gothic Demi" w:cs="Times New Roman"/>
          <w:b w:val="0"/>
          <w:bCs w:val="0"/>
          <w:iCs w:val="0"/>
          <w:color w:val="002060"/>
          <w:spacing w:val="26"/>
          <w:szCs w:val="36"/>
        </w:rPr>
      </w:pPr>
      <w:bookmarkStart w:id="101" w:name="_Toc523440008"/>
      <w:bookmarkEnd w:id="97"/>
      <w:bookmarkEnd w:id="98"/>
      <w:bookmarkEnd w:id="99"/>
      <w:bookmarkEnd w:id="100"/>
      <w:r w:rsidRPr="003C15AA">
        <w:rPr>
          <w:rFonts w:ascii="Franklin Gothic Demi" w:eastAsia="Times New Roman" w:hAnsi="Franklin Gothic Demi" w:cs="Times New Roman"/>
          <w:b w:val="0"/>
          <w:bCs w:val="0"/>
          <w:iCs w:val="0"/>
          <w:color w:val="002060"/>
          <w:spacing w:val="26"/>
          <w:szCs w:val="36"/>
        </w:rPr>
        <w:t>Profit and Loss Statement (With monthly detail)</w:t>
      </w:r>
      <w:bookmarkEnd w:id="101"/>
    </w:p>
    <w:tbl>
      <w:tblPr>
        <w:tblStyle w:val="Tabellagriglia4-colore5"/>
        <w:tblW w:w="13518" w:type="dxa"/>
        <w:tblLayout w:type="fixed"/>
        <w:tblLook w:val="04A0" w:firstRow="1" w:lastRow="0" w:firstColumn="1" w:lastColumn="0" w:noHBand="0" w:noVBand="1"/>
      </w:tblPr>
      <w:tblGrid>
        <w:gridCol w:w="1458"/>
        <w:gridCol w:w="1005"/>
        <w:gridCol w:w="1005"/>
        <w:gridCol w:w="1005"/>
        <w:gridCol w:w="1005"/>
        <w:gridCol w:w="1005"/>
        <w:gridCol w:w="1005"/>
        <w:gridCol w:w="1005"/>
        <w:gridCol w:w="1005"/>
        <w:gridCol w:w="1005"/>
        <w:gridCol w:w="1005"/>
        <w:gridCol w:w="1005"/>
        <w:gridCol w:w="1005"/>
      </w:tblGrid>
      <w:tr w:rsidR="0016590F" w:rsidRPr="00FA35D3" w:rsidTr="00FA35D3">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1B78B5" w:rsidP="00460C2C">
            <w:pPr>
              <w:pStyle w:val="AppendixFinancialTableHeader"/>
              <w:keepNext/>
              <w:keepLines/>
              <w:spacing w:after="280"/>
            </w:pPr>
            <w:r w:rsidRPr="00FA35D3">
              <w:t>2019</w:t>
            </w:r>
          </w:p>
        </w:tc>
        <w:tc>
          <w:tcPr>
            <w:tcW w:w="1005" w:type="dxa"/>
            <w:noWrap/>
            <w:vAlign w:val="center"/>
          </w:tcPr>
          <w:p w:rsidR="004B110F" w:rsidRPr="00FA35D3" w:rsidRDefault="001B78B5" w:rsidP="00460C2C">
            <w:pPr>
              <w:pStyle w:val="AppendixFinancialTableHeader"/>
              <w:keepNext/>
              <w:keepLines/>
              <w:spacing w:after="280"/>
              <w:cnfStyle w:val="100000000000" w:firstRow="1" w:lastRow="0" w:firstColumn="0" w:lastColumn="0" w:oddVBand="0" w:evenVBand="0" w:oddHBand="0" w:evenHBand="0" w:firstRowFirstColumn="0" w:firstRowLastColumn="0" w:lastRowFirstColumn="0" w:lastRowLastColumn="0"/>
            </w:pPr>
            <w:r w:rsidRPr="00FA35D3">
              <w:t>Jan '19</w:t>
            </w:r>
          </w:p>
        </w:tc>
        <w:tc>
          <w:tcPr>
            <w:tcW w:w="1005" w:type="dxa"/>
            <w:noWrap/>
            <w:vAlign w:val="center"/>
          </w:tcPr>
          <w:p w:rsidR="004B110F" w:rsidRPr="00FA35D3" w:rsidRDefault="001B78B5" w:rsidP="00460C2C">
            <w:pPr>
              <w:pStyle w:val="AppendixFinancialTableHeader"/>
              <w:keepNext/>
              <w:keepLines/>
              <w:spacing w:after="280"/>
              <w:cnfStyle w:val="100000000000" w:firstRow="1" w:lastRow="0" w:firstColumn="0" w:lastColumn="0" w:oddVBand="0" w:evenVBand="0" w:oddHBand="0" w:evenHBand="0" w:firstRowFirstColumn="0" w:firstRowLastColumn="0" w:lastRowFirstColumn="0" w:lastRowLastColumn="0"/>
            </w:pPr>
            <w:r w:rsidRPr="00FA35D3">
              <w:t>Feb '19</w:t>
            </w:r>
          </w:p>
        </w:tc>
        <w:tc>
          <w:tcPr>
            <w:tcW w:w="1005" w:type="dxa"/>
            <w:noWrap/>
            <w:vAlign w:val="center"/>
          </w:tcPr>
          <w:p w:rsidR="004B110F" w:rsidRPr="00FA35D3" w:rsidRDefault="001B78B5" w:rsidP="00460C2C">
            <w:pPr>
              <w:pStyle w:val="AppendixFinancialTableHeader"/>
              <w:keepNext/>
              <w:keepLines/>
              <w:spacing w:after="280"/>
              <w:cnfStyle w:val="100000000000" w:firstRow="1" w:lastRow="0" w:firstColumn="0" w:lastColumn="0" w:oddVBand="0" w:evenVBand="0" w:oddHBand="0" w:evenHBand="0" w:firstRowFirstColumn="0" w:firstRowLastColumn="0" w:lastRowFirstColumn="0" w:lastRowLastColumn="0"/>
            </w:pPr>
            <w:r w:rsidRPr="00FA35D3">
              <w:t>Mar '19</w:t>
            </w:r>
          </w:p>
        </w:tc>
        <w:tc>
          <w:tcPr>
            <w:tcW w:w="1005" w:type="dxa"/>
            <w:noWrap/>
            <w:vAlign w:val="center"/>
          </w:tcPr>
          <w:p w:rsidR="004B110F" w:rsidRPr="00FA35D3" w:rsidRDefault="001B78B5" w:rsidP="00460C2C">
            <w:pPr>
              <w:pStyle w:val="AppendixFinancialTableHeader"/>
              <w:keepNext/>
              <w:keepLines/>
              <w:spacing w:after="280"/>
              <w:cnfStyle w:val="100000000000" w:firstRow="1" w:lastRow="0" w:firstColumn="0" w:lastColumn="0" w:oddVBand="0" w:evenVBand="0" w:oddHBand="0" w:evenHBand="0" w:firstRowFirstColumn="0" w:firstRowLastColumn="0" w:lastRowFirstColumn="0" w:lastRowLastColumn="0"/>
            </w:pPr>
            <w:r w:rsidRPr="00FA35D3">
              <w:t>Apr '19</w:t>
            </w:r>
          </w:p>
        </w:tc>
        <w:tc>
          <w:tcPr>
            <w:tcW w:w="1005" w:type="dxa"/>
            <w:noWrap/>
            <w:vAlign w:val="center"/>
          </w:tcPr>
          <w:p w:rsidR="004B110F" w:rsidRPr="00FA35D3" w:rsidRDefault="001B78B5" w:rsidP="00460C2C">
            <w:pPr>
              <w:pStyle w:val="AppendixFinancialTableHeader"/>
              <w:keepNext/>
              <w:keepLines/>
              <w:spacing w:after="280"/>
              <w:cnfStyle w:val="100000000000" w:firstRow="1" w:lastRow="0" w:firstColumn="0" w:lastColumn="0" w:oddVBand="0" w:evenVBand="0" w:oddHBand="0" w:evenHBand="0" w:firstRowFirstColumn="0" w:firstRowLastColumn="0" w:lastRowFirstColumn="0" w:lastRowLastColumn="0"/>
            </w:pPr>
            <w:r w:rsidRPr="00FA35D3">
              <w:t>May '19</w:t>
            </w:r>
          </w:p>
        </w:tc>
        <w:tc>
          <w:tcPr>
            <w:tcW w:w="1005" w:type="dxa"/>
            <w:noWrap/>
            <w:vAlign w:val="center"/>
          </w:tcPr>
          <w:p w:rsidR="004B110F" w:rsidRPr="00FA35D3" w:rsidRDefault="001B78B5" w:rsidP="00460C2C">
            <w:pPr>
              <w:pStyle w:val="AppendixFinancialTableHeader"/>
              <w:keepNext/>
              <w:keepLines/>
              <w:spacing w:after="280"/>
              <w:cnfStyle w:val="100000000000" w:firstRow="1" w:lastRow="0" w:firstColumn="0" w:lastColumn="0" w:oddVBand="0" w:evenVBand="0" w:oddHBand="0" w:evenHBand="0" w:firstRowFirstColumn="0" w:firstRowLastColumn="0" w:lastRowFirstColumn="0" w:lastRowLastColumn="0"/>
            </w:pPr>
            <w:r w:rsidRPr="00FA35D3">
              <w:t>June '19</w:t>
            </w:r>
          </w:p>
        </w:tc>
        <w:tc>
          <w:tcPr>
            <w:tcW w:w="1005" w:type="dxa"/>
            <w:noWrap/>
            <w:vAlign w:val="center"/>
          </w:tcPr>
          <w:p w:rsidR="004B110F" w:rsidRPr="00FA35D3" w:rsidRDefault="001B78B5" w:rsidP="00460C2C">
            <w:pPr>
              <w:pStyle w:val="AppendixFinancialTableHeader"/>
              <w:keepNext/>
              <w:keepLines/>
              <w:spacing w:after="280"/>
              <w:cnfStyle w:val="100000000000" w:firstRow="1" w:lastRow="0" w:firstColumn="0" w:lastColumn="0" w:oddVBand="0" w:evenVBand="0" w:oddHBand="0" w:evenHBand="0" w:firstRowFirstColumn="0" w:firstRowLastColumn="0" w:lastRowFirstColumn="0" w:lastRowLastColumn="0"/>
            </w:pPr>
            <w:r w:rsidRPr="00FA35D3">
              <w:t>July '19</w:t>
            </w:r>
          </w:p>
        </w:tc>
        <w:tc>
          <w:tcPr>
            <w:tcW w:w="1005" w:type="dxa"/>
            <w:noWrap/>
            <w:vAlign w:val="center"/>
          </w:tcPr>
          <w:p w:rsidR="004B110F" w:rsidRPr="00FA35D3" w:rsidRDefault="001B78B5" w:rsidP="00460C2C">
            <w:pPr>
              <w:pStyle w:val="AppendixFinancialTableHeader"/>
              <w:keepNext/>
              <w:keepLines/>
              <w:spacing w:after="280"/>
              <w:cnfStyle w:val="100000000000" w:firstRow="1" w:lastRow="0" w:firstColumn="0" w:lastColumn="0" w:oddVBand="0" w:evenVBand="0" w:oddHBand="0" w:evenHBand="0" w:firstRowFirstColumn="0" w:firstRowLastColumn="0" w:lastRowFirstColumn="0" w:lastRowLastColumn="0"/>
            </w:pPr>
            <w:r w:rsidRPr="00FA35D3">
              <w:t>Aug '19</w:t>
            </w:r>
          </w:p>
        </w:tc>
        <w:tc>
          <w:tcPr>
            <w:tcW w:w="1005" w:type="dxa"/>
            <w:noWrap/>
            <w:vAlign w:val="center"/>
          </w:tcPr>
          <w:p w:rsidR="004B110F" w:rsidRPr="00FA35D3" w:rsidRDefault="001B78B5" w:rsidP="00460C2C">
            <w:pPr>
              <w:pStyle w:val="AppendixFinancialTableHeader"/>
              <w:keepNext/>
              <w:keepLines/>
              <w:spacing w:after="280"/>
              <w:cnfStyle w:val="100000000000" w:firstRow="1" w:lastRow="0" w:firstColumn="0" w:lastColumn="0" w:oddVBand="0" w:evenVBand="0" w:oddHBand="0" w:evenHBand="0" w:firstRowFirstColumn="0" w:firstRowLastColumn="0" w:lastRowFirstColumn="0" w:lastRowLastColumn="0"/>
            </w:pPr>
            <w:r w:rsidRPr="00FA35D3">
              <w:t>Sept '19</w:t>
            </w:r>
          </w:p>
        </w:tc>
        <w:tc>
          <w:tcPr>
            <w:tcW w:w="1005" w:type="dxa"/>
            <w:noWrap/>
            <w:vAlign w:val="center"/>
          </w:tcPr>
          <w:p w:rsidR="004B110F" w:rsidRPr="00FA35D3" w:rsidRDefault="001B78B5" w:rsidP="00460C2C">
            <w:pPr>
              <w:pStyle w:val="AppendixFinancialTableHeader"/>
              <w:keepNext/>
              <w:keepLines/>
              <w:spacing w:after="280"/>
              <w:cnfStyle w:val="100000000000" w:firstRow="1" w:lastRow="0" w:firstColumn="0" w:lastColumn="0" w:oddVBand="0" w:evenVBand="0" w:oddHBand="0" w:evenHBand="0" w:firstRowFirstColumn="0" w:firstRowLastColumn="0" w:lastRowFirstColumn="0" w:lastRowLastColumn="0"/>
            </w:pPr>
            <w:r w:rsidRPr="00FA35D3">
              <w:t>Oct '19</w:t>
            </w:r>
          </w:p>
        </w:tc>
        <w:tc>
          <w:tcPr>
            <w:tcW w:w="1005" w:type="dxa"/>
            <w:noWrap/>
            <w:vAlign w:val="center"/>
          </w:tcPr>
          <w:p w:rsidR="004B110F" w:rsidRPr="00FA35D3" w:rsidRDefault="001B78B5" w:rsidP="00460C2C">
            <w:pPr>
              <w:pStyle w:val="AppendixFinancialTableHeader"/>
              <w:keepNext/>
              <w:keepLines/>
              <w:spacing w:after="280"/>
              <w:cnfStyle w:val="100000000000" w:firstRow="1" w:lastRow="0" w:firstColumn="0" w:lastColumn="0" w:oddVBand="0" w:evenVBand="0" w:oddHBand="0" w:evenHBand="0" w:firstRowFirstColumn="0" w:firstRowLastColumn="0" w:lastRowFirstColumn="0" w:lastRowLastColumn="0"/>
            </w:pPr>
            <w:r w:rsidRPr="00FA35D3">
              <w:t>Nov '19</w:t>
            </w:r>
          </w:p>
        </w:tc>
        <w:tc>
          <w:tcPr>
            <w:tcW w:w="1005" w:type="dxa"/>
            <w:noWrap/>
            <w:vAlign w:val="center"/>
          </w:tcPr>
          <w:p w:rsidR="004B110F" w:rsidRPr="00FA35D3" w:rsidRDefault="001B78B5" w:rsidP="00460C2C">
            <w:pPr>
              <w:pStyle w:val="AppendixFinancialTableHeader"/>
              <w:keepNext/>
              <w:keepLines/>
              <w:spacing w:after="280"/>
              <w:cnfStyle w:val="100000000000" w:firstRow="1" w:lastRow="0" w:firstColumn="0" w:lastColumn="0" w:oddVBand="0" w:evenVBand="0" w:oddHBand="0" w:evenHBand="0" w:firstRowFirstColumn="0" w:firstRowLastColumn="0" w:lastRowFirstColumn="0" w:lastRowLastColumn="0"/>
            </w:pPr>
            <w:r w:rsidRPr="00FA35D3">
              <w:t>Dec '19</w:t>
            </w:r>
          </w:p>
        </w:tc>
      </w:tr>
      <w:tr w:rsidR="00D16558" w:rsidRPr="00FA35D3" w:rsidTr="00D1655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1B78B5" w:rsidP="00460C2C">
            <w:pPr>
              <w:pStyle w:val="AppendixFinancialTableGroupFooter"/>
              <w:keepNext/>
              <w:keepLines/>
              <w:spacing w:after="280"/>
            </w:pPr>
            <w:r w:rsidRPr="00FA35D3">
              <w:t>Total Revenue</w:t>
            </w:r>
          </w:p>
        </w:tc>
        <w:tc>
          <w:tcPr>
            <w:tcW w:w="1005" w:type="dxa"/>
            <w:noWrap/>
            <w:vAlign w:val="bottom"/>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€1,979,333</w:t>
            </w:r>
          </w:p>
        </w:tc>
        <w:tc>
          <w:tcPr>
            <w:tcW w:w="1005" w:type="dxa"/>
            <w:noWrap/>
            <w:vAlign w:val="bottom"/>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€2,123,333</w:t>
            </w:r>
          </w:p>
        </w:tc>
        <w:tc>
          <w:tcPr>
            <w:tcW w:w="1005" w:type="dxa"/>
            <w:noWrap/>
            <w:vAlign w:val="bottom"/>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€2,233,333</w:t>
            </w:r>
          </w:p>
        </w:tc>
        <w:tc>
          <w:tcPr>
            <w:tcW w:w="1005" w:type="dxa"/>
            <w:noWrap/>
            <w:vAlign w:val="bottom"/>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€2,343,333</w:t>
            </w:r>
          </w:p>
        </w:tc>
        <w:tc>
          <w:tcPr>
            <w:tcW w:w="1005" w:type="dxa"/>
            <w:noWrap/>
            <w:vAlign w:val="bottom"/>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€2,453,333</w:t>
            </w:r>
          </w:p>
        </w:tc>
        <w:tc>
          <w:tcPr>
            <w:tcW w:w="1005" w:type="dxa"/>
            <w:noWrap/>
            <w:vAlign w:val="bottom"/>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€2,463,333</w:t>
            </w:r>
          </w:p>
        </w:tc>
        <w:tc>
          <w:tcPr>
            <w:tcW w:w="1005" w:type="dxa"/>
            <w:noWrap/>
            <w:vAlign w:val="bottom"/>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€2,573,333</w:t>
            </w:r>
          </w:p>
        </w:tc>
        <w:tc>
          <w:tcPr>
            <w:tcW w:w="1005" w:type="dxa"/>
            <w:noWrap/>
            <w:vAlign w:val="bottom"/>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€2,683,333</w:t>
            </w:r>
          </w:p>
        </w:tc>
        <w:tc>
          <w:tcPr>
            <w:tcW w:w="1005" w:type="dxa"/>
            <w:noWrap/>
            <w:vAlign w:val="bottom"/>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€2,693,333</w:t>
            </w:r>
          </w:p>
        </w:tc>
        <w:tc>
          <w:tcPr>
            <w:tcW w:w="1005" w:type="dxa"/>
            <w:noWrap/>
            <w:vAlign w:val="bottom"/>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€2,903,333</w:t>
            </w:r>
          </w:p>
        </w:tc>
        <w:tc>
          <w:tcPr>
            <w:tcW w:w="1005" w:type="dxa"/>
            <w:noWrap/>
            <w:vAlign w:val="bottom"/>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€3,013,333</w:t>
            </w:r>
          </w:p>
        </w:tc>
        <w:tc>
          <w:tcPr>
            <w:tcW w:w="1005" w:type="dxa"/>
            <w:noWrap/>
            <w:vAlign w:val="bottom"/>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€3,143,340</w:t>
            </w:r>
          </w:p>
        </w:tc>
      </w:tr>
      <w:tr w:rsidR="0016590F" w:rsidRPr="00FA35D3" w:rsidTr="00D16558">
        <w:trPr>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4B110F" w:rsidP="00460C2C">
            <w:pPr>
              <w:pStyle w:val="AppendixFinancialTableSpacer"/>
              <w:keepNext/>
              <w:keepLines/>
              <w:spacing w:after="280" w:afterAutospacing="1"/>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000000" w:firstRow="0" w:lastRow="0" w:firstColumn="0" w:lastColumn="0" w:oddVBand="0" w:evenVBand="0" w:oddHBand="0"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000000" w:firstRow="0" w:lastRow="0" w:firstColumn="0" w:lastColumn="0" w:oddVBand="0" w:evenVBand="0" w:oddHBand="0"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000000" w:firstRow="0" w:lastRow="0" w:firstColumn="0" w:lastColumn="0" w:oddVBand="0" w:evenVBand="0" w:oddHBand="0"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000000" w:firstRow="0" w:lastRow="0" w:firstColumn="0" w:lastColumn="0" w:oddVBand="0" w:evenVBand="0" w:oddHBand="0"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000000" w:firstRow="0" w:lastRow="0" w:firstColumn="0" w:lastColumn="0" w:oddVBand="0" w:evenVBand="0" w:oddHBand="0"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000000" w:firstRow="0" w:lastRow="0" w:firstColumn="0" w:lastColumn="0" w:oddVBand="0" w:evenVBand="0" w:oddHBand="0"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000000" w:firstRow="0" w:lastRow="0" w:firstColumn="0" w:lastColumn="0" w:oddVBand="0" w:evenVBand="0" w:oddHBand="0"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000000" w:firstRow="0" w:lastRow="0" w:firstColumn="0" w:lastColumn="0" w:oddVBand="0" w:evenVBand="0" w:oddHBand="0"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000000" w:firstRow="0" w:lastRow="0" w:firstColumn="0" w:lastColumn="0" w:oddVBand="0" w:evenVBand="0" w:oddHBand="0"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000000" w:firstRow="0" w:lastRow="0" w:firstColumn="0" w:lastColumn="0" w:oddVBand="0" w:evenVBand="0" w:oddHBand="0"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000000" w:firstRow="0" w:lastRow="0" w:firstColumn="0" w:lastColumn="0" w:oddVBand="0" w:evenVBand="0" w:oddHBand="0"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000000" w:firstRow="0" w:lastRow="0" w:firstColumn="0" w:lastColumn="0" w:oddVBand="0" w:evenVBand="0" w:oddHBand="0" w:evenHBand="0" w:firstRowFirstColumn="0" w:firstRowLastColumn="0" w:lastRowFirstColumn="0" w:lastRowLastColumn="0"/>
              <w:rPr>
                <w:sz w:val="14"/>
              </w:rPr>
            </w:pPr>
          </w:p>
        </w:tc>
      </w:tr>
      <w:tr w:rsidR="00D16558" w:rsidRPr="00FA35D3" w:rsidTr="00D1655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1B78B5" w:rsidP="00460C2C">
            <w:pPr>
              <w:pStyle w:val="AppendixFinancialTableGroupFooter"/>
              <w:keepNext/>
              <w:keepLines/>
              <w:spacing w:after="280"/>
            </w:pPr>
            <w:r w:rsidRPr="00FA35D3">
              <w:t>Total Direct Costs</w:t>
            </w:r>
          </w:p>
        </w:tc>
        <w:tc>
          <w:tcPr>
            <w:tcW w:w="1005" w:type="dxa"/>
            <w:noWrap/>
            <w:vAlign w:val="bottom"/>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€1,329,758</w:t>
            </w:r>
          </w:p>
        </w:tc>
        <w:tc>
          <w:tcPr>
            <w:tcW w:w="1005" w:type="dxa"/>
            <w:noWrap/>
            <w:vAlign w:val="bottom"/>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€1,373,308</w:t>
            </w:r>
          </w:p>
        </w:tc>
        <w:tc>
          <w:tcPr>
            <w:tcW w:w="1005" w:type="dxa"/>
            <w:noWrap/>
            <w:vAlign w:val="bottom"/>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€1,406,700</w:t>
            </w:r>
          </w:p>
        </w:tc>
        <w:tc>
          <w:tcPr>
            <w:tcW w:w="1005" w:type="dxa"/>
            <w:noWrap/>
            <w:vAlign w:val="bottom"/>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€1,441,373</w:t>
            </w:r>
          </w:p>
        </w:tc>
        <w:tc>
          <w:tcPr>
            <w:tcW w:w="1005" w:type="dxa"/>
            <w:noWrap/>
            <w:vAlign w:val="bottom"/>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€1,475,040</w:t>
            </w:r>
          </w:p>
        </w:tc>
        <w:tc>
          <w:tcPr>
            <w:tcW w:w="1005" w:type="dxa"/>
            <w:noWrap/>
            <w:vAlign w:val="bottom"/>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€1,477,085</w:t>
            </w:r>
          </w:p>
        </w:tc>
        <w:tc>
          <w:tcPr>
            <w:tcW w:w="1005" w:type="dxa"/>
            <w:noWrap/>
            <w:vAlign w:val="bottom"/>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€1,510,866</w:t>
            </w:r>
          </w:p>
        </w:tc>
        <w:tc>
          <w:tcPr>
            <w:tcW w:w="1005" w:type="dxa"/>
            <w:noWrap/>
            <w:vAlign w:val="bottom"/>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€1,543,417</w:t>
            </w:r>
          </w:p>
        </w:tc>
        <w:tc>
          <w:tcPr>
            <w:tcW w:w="1005" w:type="dxa"/>
            <w:noWrap/>
            <w:vAlign w:val="bottom"/>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€1,546,813</w:t>
            </w:r>
          </w:p>
        </w:tc>
        <w:tc>
          <w:tcPr>
            <w:tcW w:w="1005" w:type="dxa"/>
            <w:noWrap/>
            <w:vAlign w:val="bottom"/>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€1,612,871</w:t>
            </w:r>
          </w:p>
        </w:tc>
        <w:tc>
          <w:tcPr>
            <w:tcW w:w="1005" w:type="dxa"/>
            <w:noWrap/>
            <w:vAlign w:val="bottom"/>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€1,647,093</w:t>
            </w:r>
          </w:p>
        </w:tc>
        <w:tc>
          <w:tcPr>
            <w:tcW w:w="1005" w:type="dxa"/>
            <w:noWrap/>
            <w:vAlign w:val="bottom"/>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€1,685,580</w:t>
            </w:r>
          </w:p>
        </w:tc>
      </w:tr>
      <w:tr w:rsidR="0016590F" w:rsidRPr="00FA35D3" w:rsidTr="00D16558">
        <w:trPr>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4B110F" w:rsidP="00460C2C">
            <w:pPr>
              <w:pStyle w:val="AppendixFinancialTableSpacer"/>
              <w:keepNext/>
              <w:keepLines/>
              <w:spacing w:after="280" w:afterAutospacing="1"/>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000000" w:firstRow="0" w:lastRow="0" w:firstColumn="0" w:lastColumn="0" w:oddVBand="0" w:evenVBand="0" w:oddHBand="0"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000000" w:firstRow="0" w:lastRow="0" w:firstColumn="0" w:lastColumn="0" w:oddVBand="0" w:evenVBand="0" w:oddHBand="0"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000000" w:firstRow="0" w:lastRow="0" w:firstColumn="0" w:lastColumn="0" w:oddVBand="0" w:evenVBand="0" w:oddHBand="0"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000000" w:firstRow="0" w:lastRow="0" w:firstColumn="0" w:lastColumn="0" w:oddVBand="0" w:evenVBand="0" w:oddHBand="0"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000000" w:firstRow="0" w:lastRow="0" w:firstColumn="0" w:lastColumn="0" w:oddVBand="0" w:evenVBand="0" w:oddHBand="0"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000000" w:firstRow="0" w:lastRow="0" w:firstColumn="0" w:lastColumn="0" w:oddVBand="0" w:evenVBand="0" w:oddHBand="0"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000000" w:firstRow="0" w:lastRow="0" w:firstColumn="0" w:lastColumn="0" w:oddVBand="0" w:evenVBand="0" w:oddHBand="0"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000000" w:firstRow="0" w:lastRow="0" w:firstColumn="0" w:lastColumn="0" w:oddVBand="0" w:evenVBand="0" w:oddHBand="0"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000000" w:firstRow="0" w:lastRow="0" w:firstColumn="0" w:lastColumn="0" w:oddVBand="0" w:evenVBand="0" w:oddHBand="0"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000000" w:firstRow="0" w:lastRow="0" w:firstColumn="0" w:lastColumn="0" w:oddVBand="0" w:evenVBand="0" w:oddHBand="0"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000000" w:firstRow="0" w:lastRow="0" w:firstColumn="0" w:lastColumn="0" w:oddVBand="0" w:evenVBand="0" w:oddHBand="0"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000000" w:firstRow="0" w:lastRow="0" w:firstColumn="0" w:lastColumn="0" w:oddVBand="0" w:evenVBand="0" w:oddHBand="0" w:evenHBand="0" w:firstRowFirstColumn="0" w:firstRowLastColumn="0" w:lastRowFirstColumn="0" w:lastRowLastColumn="0"/>
              <w:rPr>
                <w:sz w:val="14"/>
              </w:rPr>
            </w:pPr>
          </w:p>
        </w:tc>
      </w:tr>
      <w:tr w:rsidR="00D16558" w:rsidRPr="00FA35D3" w:rsidTr="00D1655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1B78B5" w:rsidP="00460C2C">
            <w:pPr>
              <w:pStyle w:val="AppendixFinancialTableItem"/>
              <w:keepNext/>
              <w:keepLines/>
              <w:spacing w:after="280"/>
              <w:rPr>
                <w:sz w:val="14"/>
              </w:rPr>
            </w:pPr>
            <w:r w:rsidRPr="00FA35D3">
              <w:rPr>
                <w:sz w:val="14"/>
              </w:rPr>
              <w:t>Gross Margin</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€649,575</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€750,025</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€826,633</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€901,960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€978,293</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€986,248</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€1,062,467</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€1,139,917</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€1,146,520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€1,290,462</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€1,366,240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€1,457,760</w:t>
            </w:r>
          </w:p>
        </w:tc>
      </w:tr>
      <w:tr w:rsidR="0016590F" w:rsidRPr="00FA35D3" w:rsidTr="00D16558">
        <w:trPr>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1B78B5" w:rsidP="00460C2C">
            <w:pPr>
              <w:pStyle w:val="AppendixFinancialTableGroupFooter"/>
              <w:keepNext/>
              <w:keepLines/>
              <w:spacing w:after="280"/>
            </w:pPr>
            <w:r w:rsidRPr="00FA35D3">
              <w:t>Gross Margin %</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33%</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35%</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37%</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38%</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40%</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40%</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41%</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42%</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43%</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44%</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45%</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46%</w:t>
            </w:r>
          </w:p>
        </w:tc>
      </w:tr>
      <w:tr w:rsidR="00D16558" w:rsidRPr="00FA35D3" w:rsidTr="00D1655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1B78B5" w:rsidP="00460C2C">
            <w:pPr>
              <w:pStyle w:val="AppendixFinancialTableGroupHeader"/>
              <w:keepNext/>
              <w:keepLines/>
              <w:spacing w:after="280"/>
            </w:pPr>
            <w:r w:rsidRPr="00FA35D3">
              <w:t>Operating Expenses</w:t>
            </w:r>
          </w:p>
        </w:tc>
        <w:tc>
          <w:tcPr>
            <w:tcW w:w="1005" w:type="dxa"/>
            <w:noWrap/>
            <w:vAlign w:val="bottom"/>
          </w:tcPr>
          <w:p w:rsidR="004B110F" w:rsidRPr="00FA35D3" w:rsidRDefault="004B110F" w:rsidP="00460C2C">
            <w:pPr>
              <w:pStyle w:val="AppendixFinancialTableGroupHeader"/>
              <w:keepNext/>
              <w:keepLines/>
              <w:spacing w:after="280"/>
              <w:cnfStyle w:val="000000100000" w:firstRow="0" w:lastRow="0" w:firstColumn="0" w:lastColumn="0" w:oddVBand="0" w:evenVBand="0" w:oddHBand="1" w:evenHBand="0" w:firstRowFirstColumn="0" w:firstRowLastColumn="0" w:lastRowFirstColumn="0" w:lastRowLastColumn="0"/>
            </w:pPr>
          </w:p>
        </w:tc>
        <w:tc>
          <w:tcPr>
            <w:tcW w:w="1005" w:type="dxa"/>
            <w:noWrap/>
            <w:vAlign w:val="bottom"/>
          </w:tcPr>
          <w:p w:rsidR="004B110F" w:rsidRPr="00FA35D3" w:rsidRDefault="004B110F" w:rsidP="00460C2C">
            <w:pPr>
              <w:pStyle w:val="AppendixFinancialTableGroupHeader"/>
              <w:keepNext/>
              <w:keepLines/>
              <w:spacing w:after="280"/>
              <w:cnfStyle w:val="000000100000" w:firstRow="0" w:lastRow="0" w:firstColumn="0" w:lastColumn="0" w:oddVBand="0" w:evenVBand="0" w:oddHBand="1" w:evenHBand="0" w:firstRowFirstColumn="0" w:firstRowLastColumn="0" w:lastRowFirstColumn="0" w:lastRowLastColumn="0"/>
            </w:pPr>
          </w:p>
        </w:tc>
        <w:tc>
          <w:tcPr>
            <w:tcW w:w="1005" w:type="dxa"/>
            <w:noWrap/>
            <w:vAlign w:val="bottom"/>
          </w:tcPr>
          <w:p w:rsidR="004B110F" w:rsidRPr="00FA35D3" w:rsidRDefault="004B110F" w:rsidP="00460C2C">
            <w:pPr>
              <w:pStyle w:val="AppendixFinancialTableGroupHeader"/>
              <w:keepNext/>
              <w:keepLines/>
              <w:spacing w:after="280"/>
              <w:cnfStyle w:val="000000100000" w:firstRow="0" w:lastRow="0" w:firstColumn="0" w:lastColumn="0" w:oddVBand="0" w:evenVBand="0" w:oddHBand="1" w:evenHBand="0" w:firstRowFirstColumn="0" w:firstRowLastColumn="0" w:lastRowFirstColumn="0" w:lastRowLastColumn="0"/>
            </w:pPr>
          </w:p>
        </w:tc>
        <w:tc>
          <w:tcPr>
            <w:tcW w:w="1005" w:type="dxa"/>
            <w:noWrap/>
            <w:vAlign w:val="bottom"/>
          </w:tcPr>
          <w:p w:rsidR="004B110F" w:rsidRPr="00FA35D3" w:rsidRDefault="004B110F" w:rsidP="00460C2C">
            <w:pPr>
              <w:pStyle w:val="AppendixFinancialTableGroupHeader"/>
              <w:keepNext/>
              <w:keepLines/>
              <w:spacing w:after="280"/>
              <w:cnfStyle w:val="000000100000" w:firstRow="0" w:lastRow="0" w:firstColumn="0" w:lastColumn="0" w:oddVBand="0" w:evenVBand="0" w:oddHBand="1" w:evenHBand="0" w:firstRowFirstColumn="0" w:firstRowLastColumn="0" w:lastRowFirstColumn="0" w:lastRowLastColumn="0"/>
            </w:pPr>
          </w:p>
        </w:tc>
        <w:tc>
          <w:tcPr>
            <w:tcW w:w="1005" w:type="dxa"/>
            <w:noWrap/>
            <w:vAlign w:val="bottom"/>
          </w:tcPr>
          <w:p w:rsidR="004B110F" w:rsidRPr="00FA35D3" w:rsidRDefault="004B110F" w:rsidP="00460C2C">
            <w:pPr>
              <w:pStyle w:val="AppendixFinancialTableGroupHeader"/>
              <w:keepNext/>
              <w:keepLines/>
              <w:spacing w:after="280"/>
              <w:cnfStyle w:val="000000100000" w:firstRow="0" w:lastRow="0" w:firstColumn="0" w:lastColumn="0" w:oddVBand="0" w:evenVBand="0" w:oddHBand="1" w:evenHBand="0" w:firstRowFirstColumn="0" w:firstRowLastColumn="0" w:lastRowFirstColumn="0" w:lastRowLastColumn="0"/>
            </w:pPr>
          </w:p>
        </w:tc>
        <w:tc>
          <w:tcPr>
            <w:tcW w:w="1005" w:type="dxa"/>
            <w:noWrap/>
            <w:vAlign w:val="bottom"/>
          </w:tcPr>
          <w:p w:rsidR="004B110F" w:rsidRPr="00FA35D3" w:rsidRDefault="004B110F" w:rsidP="00460C2C">
            <w:pPr>
              <w:pStyle w:val="AppendixFinancialTableGroupHeader"/>
              <w:keepNext/>
              <w:keepLines/>
              <w:spacing w:after="280"/>
              <w:cnfStyle w:val="000000100000" w:firstRow="0" w:lastRow="0" w:firstColumn="0" w:lastColumn="0" w:oddVBand="0" w:evenVBand="0" w:oddHBand="1" w:evenHBand="0" w:firstRowFirstColumn="0" w:firstRowLastColumn="0" w:lastRowFirstColumn="0" w:lastRowLastColumn="0"/>
            </w:pPr>
          </w:p>
        </w:tc>
        <w:tc>
          <w:tcPr>
            <w:tcW w:w="1005" w:type="dxa"/>
            <w:noWrap/>
            <w:vAlign w:val="bottom"/>
          </w:tcPr>
          <w:p w:rsidR="004B110F" w:rsidRPr="00FA35D3" w:rsidRDefault="004B110F" w:rsidP="00460C2C">
            <w:pPr>
              <w:pStyle w:val="AppendixFinancialTableGroupHeader"/>
              <w:keepNext/>
              <w:keepLines/>
              <w:spacing w:after="280"/>
              <w:cnfStyle w:val="000000100000" w:firstRow="0" w:lastRow="0" w:firstColumn="0" w:lastColumn="0" w:oddVBand="0" w:evenVBand="0" w:oddHBand="1" w:evenHBand="0" w:firstRowFirstColumn="0" w:firstRowLastColumn="0" w:lastRowFirstColumn="0" w:lastRowLastColumn="0"/>
            </w:pPr>
          </w:p>
        </w:tc>
        <w:tc>
          <w:tcPr>
            <w:tcW w:w="1005" w:type="dxa"/>
            <w:noWrap/>
            <w:vAlign w:val="bottom"/>
          </w:tcPr>
          <w:p w:rsidR="004B110F" w:rsidRPr="00FA35D3" w:rsidRDefault="004B110F" w:rsidP="00460C2C">
            <w:pPr>
              <w:pStyle w:val="AppendixFinancialTableGroupHeader"/>
              <w:keepNext/>
              <w:keepLines/>
              <w:spacing w:after="280"/>
              <w:cnfStyle w:val="000000100000" w:firstRow="0" w:lastRow="0" w:firstColumn="0" w:lastColumn="0" w:oddVBand="0" w:evenVBand="0" w:oddHBand="1" w:evenHBand="0" w:firstRowFirstColumn="0" w:firstRowLastColumn="0" w:lastRowFirstColumn="0" w:lastRowLastColumn="0"/>
            </w:pPr>
          </w:p>
        </w:tc>
        <w:tc>
          <w:tcPr>
            <w:tcW w:w="1005" w:type="dxa"/>
            <w:noWrap/>
            <w:vAlign w:val="bottom"/>
          </w:tcPr>
          <w:p w:rsidR="004B110F" w:rsidRPr="00FA35D3" w:rsidRDefault="004B110F" w:rsidP="00460C2C">
            <w:pPr>
              <w:pStyle w:val="AppendixFinancialTableGroupHeader"/>
              <w:keepNext/>
              <w:keepLines/>
              <w:spacing w:after="280"/>
              <w:cnfStyle w:val="000000100000" w:firstRow="0" w:lastRow="0" w:firstColumn="0" w:lastColumn="0" w:oddVBand="0" w:evenVBand="0" w:oddHBand="1" w:evenHBand="0" w:firstRowFirstColumn="0" w:firstRowLastColumn="0" w:lastRowFirstColumn="0" w:lastRowLastColumn="0"/>
            </w:pPr>
          </w:p>
        </w:tc>
        <w:tc>
          <w:tcPr>
            <w:tcW w:w="1005" w:type="dxa"/>
            <w:noWrap/>
            <w:vAlign w:val="bottom"/>
          </w:tcPr>
          <w:p w:rsidR="004B110F" w:rsidRPr="00FA35D3" w:rsidRDefault="004B110F" w:rsidP="00460C2C">
            <w:pPr>
              <w:pStyle w:val="AppendixFinancialTableGroupHeader"/>
              <w:keepNext/>
              <w:keepLines/>
              <w:spacing w:after="280"/>
              <w:cnfStyle w:val="000000100000" w:firstRow="0" w:lastRow="0" w:firstColumn="0" w:lastColumn="0" w:oddVBand="0" w:evenVBand="0" w:oddHBand="1" w:evenHBand="0" w:firstRowFirstColumn="0" w:firstRowLastColumn="0" w:lastRowFirstColumn="0" w:lastRowLastColumn="0"/>
            </w:pPr>
          </w:p>
        </w:tc>
        <w:tc>
          <w:tcPr>
            <w:tcW w:w="1005" w:type="dxa"/>
            <w:noWrap/>
            <w:vAlign w:val="bottom"/>
          </w:tcPr>
          <w:p w:rsidR="004B110F" w:rsidRPr="00FA35D3" w:rsidRDefault="004B110F" w:rsidP="00460C2C">
            <w:pPr>
              <w:pStyle w:val="AppendixFinancialTableGroupHeader"/>
              <w:keepNext/>
              <w:keepLines/>
              <w:spacing w:after="280"/>
              <w:cnfStyle w:val="000000100000" w:firstRow="0" w:lastRow="0" w:firstColumn="0" w:lastColumn="0" w:oddVBand="0" w:evenVBand="0" w:oddHBand="1" w:evenHBand="0" w:firstRowFirstColumn="0" w:firstRowLastColumn="0" w:lastRowFirstColumn="0" w:lastRowLastColumn="0"/>
            </w:pPr>
          </w:p>
        </w:tc>
        <w:tc>
          <w:tcPr>
            <w:tcW w:w="1005" w:type="dxa"/>
            <w:noWrap/>
            <w:vAlign w:val="bottom"/>
          </w:tcPr>
          <w:p w:rsidR="004B110F" w:rsidRPr="00FA35D3" w:rsidRDefault="004B110F" w:rsidP="00460C2C">
            <w:pPr>
              <w:pStyle w:val="AppendixFinancialTableGroupHeader"/>
              <w:keepNext/>
              <w:keepLines/>
              <w:spacing w:after="280"/>
              <w:cnfStyle w:val="000000100000" w:firstRow="0" w:lastRow="0" w:firstColumn="0" w:lastColumn="0" w:oddVBand="0" w:evenVBand="0" w:oddHBand="1" w:evenHBand="0" w:firstRowFirstColumn="0" w:firstRowLastColumn="0" w:lastRowFirstColumn="0" w:lastRowLastColumn="0"/>
            </w:pPr>
          </w:p>
        </w:tc>
      </w:tr>
      <w:tr w:rsidR="0016590F" w:rsidRPr="00FA35D3" w:rsidTr="00D16558">
        <w:trPr>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1B78B5" w:rsidP="00460C2C">
            <w:pPr>
              <w:pStyle w:val="AppendixFinancialTableItem"/>
              <w:keepNext/>
              <w:keepLines/>
              <w:spacing w:after="280"/>
              <w:rPr>
                <w:sz w:val="14"/>
              </w:rPr>
            </w:pPr>
            <w:r w:rsidRPr="00FA35D3">
              <w:rPr>
                <w:sz w:val="14"/>
              </w:rPr>
              <w:t>Salaries and Wages</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€84,000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€87,000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€101,000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€104,000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€115,000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€118,000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€129,000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€129,000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€137,000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€137,000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€151,000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€151,000</w:t>
            </w:r>
          </w:p>
        </w:tc>
      </w:tr>
      <w:tr w:rsidR="00D16558" w:rsidRPr="00FA35D3" w:rsidTr="00D1655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1B78B5" w:rsidP="00460C2C">
            <w:pPr>
              <w:pStyle w:val="AppendixFinancialTableItem"/>
              <w:keepNext/>
              <w:keepLines/>
              <w:spacing w:after="280"/>
              <w:rPr>
                <w:sz w:val="14"/>
              </w:rPr>
            </w:pPr>
            <w:r w:rsidRPr="00FA35D3">
              <w:rPr>
                <w:sz w:val="14"/>
              </w:rPr>
              <w:t>Employee Related Expenses</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€9,300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€9,300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€10,950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€10,950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€12,150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€12,150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€13,350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€13,350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€14,550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€14,550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€15,750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€15,750</w:t>
            </w:r>
          </w:p>
        </w:tc>
      </w:tr>
      <w:tr w:rsidR="0016590F" w:rsidRPr="00FA35D3" w:rsidTr="00D16558">
        <w:trPr>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1B78B5" w:rsidP="00460C2C">
            <w:pPr>
              <w:pStyle w:val="AppendixFinancialTableItem"/>
              <w:keepNext/>
              <w:keepLines/>
              <w:spacing w:after="280"/>
              <w:rPr>
                <w:sz w:val="14"/>
              </w:rPr>
            </w:pPr>
            <w:r w:rsidRPr="00FA35D3">
              <w:rPr>
                <w:sz w:val="14"/>
              </w:rPr>
              <w:t>OFFICES</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€5,000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€5,000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€5,000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€7,000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€7,000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€7,000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€9,000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€9,000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€9,000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€12,000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€12,000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€12,000</w:t>
            </w:r>
          </w:p>
        </w:tc>
      </w:tr>
      <w:tr w:rsidR="00D16558" w:rsidRPr="00FA35D3" w:rsidTr="00D1655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1B78B5" w:rsidP="00460C2C">
            <w:pPr>
              <w:pStyle w:val="AppendixFinancialTableItem"/>
              <w:keepNext/>
              <w:keepLines/>
              <w:spacing w:after="280"/>
              <w:rPr>
                <w:sz w:val="14"/>
              </w:rPr>
            </w:pPr>
            <w:r w:rsidRPr="00FA35D3">
              <w:rPr>
                <w:sz w:val="14"/>
              </w:rPr>
              <w:t>Bills</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€1,200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€1,500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€1,700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€1,800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€2,000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€2,200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€2,500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€2,700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€3,500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€3,800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€4,000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€4,500</w:t>
            </w:r>
          </w:p>
        </w:tc>
      </w:tr>
      <w:tr w:rsidR="0016590F" w:rsidRPr="00FA35D3" w:rsidTr="00D16558">
        <w:trPr>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1B78B5" w:rsidP="00460C2C">
            <w:pPr>
              <w:pStyle w:val="AppendixFinancialTableItem"/>
              <w:keepNext/>
              <w:keepLines/>
              <w:spacing w:after="280"/>
              <w:rPr>
                <w:sz w:val="14"/>
              </w:rPr>
            </w:pPr>
            <w:r w:rsidRPr="00FA35D3">
              <w:rPr>
                <w:sz w:val="14"/>
              </w:rPr>
              <w:t>WEB Servers</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€2,000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€2,500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€3,000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€3,500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€4,000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€4,500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€5,000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€5,500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€6,000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€6,500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€7,000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€7,500</w:t>
            </w:r>
          </w:p>
        </w:tc>
      </w:tr>
      <w:tr w:rsidR="00D16558" w:rsidRPr="00FA35D3" w:rsidTr="00D1655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1B78B5" w:rsidP="00460C2C">
            <w:pPr>
              <w:pStyle w:val="AppendixFinancialTableItem"/>
              <w:keepNext/>
              <w:keepLines/>
              <w:spacing w:after="280"/>
              <w:rPr>
                <w:sz w:val="14"/>
              </w:rPr>
            </w:pPr>
            <w:r w:rsidRPr="00FA35D3">
              <w:rPr>
                <w:sz w:val="14"/>
              </w:rPr>
              <w:t>Accountancy and KYC and AML</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€2,000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€2,000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€3,000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€3,000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€4,000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€4,000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€5,000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€5,000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€6,000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€6,000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€7,000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€7,000</w:t>
            </w:r>
          </w:p>
        </w:tc>
      </w:tr>
      <w:tr w:rsidR="0016590F" w:rsidRPr="00FA35D3" w:rsidTr="00D16558">
        <w:trPr>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1B78B5" w:rsidP="00460C2C">
            <w:pPr>
              <w:pStyle w:val="AppendixFinancialTableItem"/>
              <w:keepNext/>
              <w:keepLines/>
              <w:spacing w:after="280"/>
              <w:rPr>
                <w:sz w:val="14"/>
              </w:rPr>
            </w:pPr>
            <w:r w:rsidRPr="00FA35D3">
              <w:rPr>
                <w:sz w:val="14"/>
              </w:rPr>
              <w:t>Transfers and General exp.</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€2,000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€2,000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€3,000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€3,000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€3,500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€4,000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€4,500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€5,000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€5,500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€6,000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€6,500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€7,000</w:t>
            </w:r>
          </w:p>
        </w:tc>
      </w:tr>
      <w:tr w:rsidR="00D16558" w:rsidRPr="00FA35D3" w:rsidTr="00D1655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1B78B5" w:rsidP="00460C2C">
            <w:pPr>
              <w:pStyle w:val="AppendixFinancialTableItem"/>
              <w:keepNext/>
              <w:keepLines/>
              <w:spacing w:after="280"/>
              <w:rPr>
                <w:sz w:val="14"/>
              </w:rPr>
            </w:pPr>
            <w:r w:rsidRPr="00FA35D3">
              <w:rPr>
                <w:sz w:val="14"/>
              </w:rPr>
              <w:t>Cars and Fringes</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€2,000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€2,200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€2,600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€2,800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€3,000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€3,200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€3,400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€3,600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€3,800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€4,000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€4,200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€4,400</w:t>
            </w:r>
          </w:p>
        </w:tc>
      </w:tr>
      <w:tr w:rsidR="0016590F" w:rsidRPr="00FA35D3" w:rsidTr="00D16558">
        <w:trPr>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1B78B5" w:rsidP="00460C2C">
            <w:pPr>
              <w:pStyle w:val="AppendixFinancialTableItem"/>
              <w:keepNext/>
              <w:keepLines/>
              <w:spacing w:after="280"/>
              <w:rPr>
                <w:sz w:val="14"/>
              </w:rPr>
            </w:pPr>
            <w:r w:rsidRPr="00FA35D3">
              <w:rPr>
                <w:sz w:val="14"/>
              </w:rPr>
              <w:t>MARKETING</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€80,000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€90,000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€100,000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€110,000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€120,000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€130,000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€140,000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€150,000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€160,000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€170,000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€170,000</w:t>
            </w:r>
          </w:p>
        </w:tc>
        <w:tc>
          <w:tcPr>
            <w:tcW w:w="1005" w:type="dxa"/>
            <w:noWrap/>
            <w:vAlign w:val="bottom"/>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€180,000</w:t>
            </w:r>
          </w:p>
        </w:tc>
      </w:tr>
      <w:tr w:rsidR="00D16558" w:rsidRPr="00FA35D3" w:rsidTr="00D1655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1B78B5" w:rsidP="00460C2C">
            <w:pPr>
              <w:pStyle w:val="AppendixFinancialTableItem"/>
              <w:keepNext/>
              <w:keepLines/>
              <w:spacing w:after="280"/>
              <w:rPr>
                <w:sz w:val="14"/>
              </w:rPr>
            </w:pPr>
            <w:r w:rsidRPr="00FA35D3">
              <w:rPr>
                <w:sz w:val="14"/>
              </w:rPr>
              <w:t>Customer Service and Activation</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€50,000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€60,000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€70,000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€80,000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€90,000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€80,000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€100,000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€120,000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€130,000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€130,000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€140,000</w:t>
            </w:r>
          </w:p>
        </w:tc>
        <w:tc>
          <w:tcPr>
            <w:tcW w:w="1005" w:type="dxa"/>
            <w:noWrap/>
            <w:vAlign w:val="bottom"/>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€150,000</w:t>
            </w:r>
          </w:p>
        </w:tc>
      </w:tr>
      <w:tr w:rsidR="0016590F" w:rsidRPr="00FA35D3" w:rsidTr="00D16558">
        <w:trPr>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1B78B5" w:rsidP="00460C2C">
            <w:pPr>
              <w:pStyle w:val="AppendixFinancialTableGroupFooter"/>
              <w:keepNext/>
              <w:keepLines/>
              <w:spacing w:after="280"/>
            </w:pPr>
            <w:r w:rsidRPr="00FA35D3">
              <w:t>Total Operating Expenses</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€237,500</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€261,500</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€300,250</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€326,050</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€360,650</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€365,050</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€411,750</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€443,150</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€475,350</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€489,850</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€517,450</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€539,150</w:t>
            </w:r>
          </w:p>
        </w:tc>
      </w:tr>
      <w:tr w:rsidR="00D16558" w:rsidRPr="00FA35D3" w:rsidTr="00D1655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4B110F" w:rsidP="00460C2C">
            <w:pPr>
              <w:pStyle w:val="AppendixFinancialTableSpacer"/>
              <w:keepNext/>
              <w:keepLines/>
              <w:spacing w:after="280" w:afterAutospacing="1"/>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100000" w:firstRow="0" w:lastRow="0" w:firstColumn="0" w:lastColumn="0" w:oddVBand="0" w:evenVBand="0" w:oddHBand="1"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100000" w:firstRow="0" w:lastRow="0" w:firstColumn="0" w:lastColumn="0" w:oddVBand="0" w:evenVBand="0" w:oddHBand="1"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100000" w:firstRow="0" w:lastRow="0" w:firstColumn="0" w:lastColumn="0" w:oddVBand="0" w:evenVBand="0" w:oddHBand="1"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100000" w:firstRow="0" w:lastRow="0" w:firstColumn="0" w:lastColumn="0" w:oddVBand="0" w:evenVBand="0" w:oddHBand="1"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100000" w:firstRow="0" w:lastRow="0" w:firstColumn="0" w:lastColumn="0" w:oddVBand="0" w:evenVBand="0" w:oddHBand="1"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100000" w:firstRow="0" w:lastRow="0" w:firstColumn="0" w:lastColumn="0" w:oddVBand="0" w:evenVBand="0" w:oddHBand="1"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100000" w:firstRow="0" w:lastRow="0" w:firstColumn="0" w:lastColumn="0" w:oddVBand="0" w:evenVBand="0" w:oddHBand="1"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100000" w:firstRow="0" w:lastRow="0" w:firstColumn="0" w:lastColumn="0" w:oddVBand="0" w:evenVBand="0" w:oddHBand="1"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100000" w:firstRow="0" w:lastRow="0" w:firstColumn="0" w:lastColumn="0" w:oddVBand="0" w:evenVBand="0" w:oddHBand="1"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100000" w:firstRow="0" w:lastRow="0" w:firstColumn="0" w:lastColumn="0" w:oddVBand="0" w:evenVBand="0" w:oddHBand="1"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100000" w:firstRow="0" w:lastRow="0" w:firstColumn="0" w:lastColumn="0" w:oddVBand="0" w:evenVBand="0" w:oddHBand="1" w:evenHBand="0" w:firstRowFirstColumn="0" w:firstRowLastColumn="0" w:lastRowFirstColumn="0" w:lastRowLastColumn="0"/>
              <w:rPr>
                <w:sz w:val="14"/>
              </w:rPr>
            </w:pPr>
          </w:p>
        </w:tc>
        <w:tc>
          <w:tcPr>
            <w:tcW w:w="1005" w:type="dxa"/>
            <w:noWrap/>
            <w:vAlign w:val="bottom"/>
          </w:tcPr>
          <w:p w:rsidR="004B110F" w:rsidRPr="00FA35D3" w:rsidRDefault="004B110F" w:rsidP="00460C2C">
            <w:pPr>
              <w:pStyle w:val="AppendixFinancialTableSpacer"/>
              <w:keepNext/>
              <w:keepLines/>
              <w:spacing w:after="280" w:afterAutospacing="1"/>
              <w:cnfStyle w:val="000000100000" w:firstRow="0" w:lastRow="0" w:firstColumn="0" w:lastColumn="0" w:oddVBand="0" w:evenVBand="0" w:oddHBand="1" w:evenHBand="0" w:firstRowFirstColumn="0" w:firstRowLastColumn="0" w:lastRowFirstColumn="0" w:lastRowLastColumn="0"/>
              <w:rPr>
                <w:sz w:val="14"/>
              </w:rPr>
            </w:pPr>
          </w:p>
        </w:tc>
      </w:tr>
      <w:tr w:rsidR="0016590F" w:rsidRPr="00FA35D3" w:rsidTr="00D16558">
        <w:trPr>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1B78B5" w:rsidP="00460C2C">
            <w:pPr>
              <w:pStyle w:val="AppendixFinancialTableGroupFooter"/>
              <w:keepNext/>
              <w:keepLines/>
              <w:spacing w:after="280"/>
            </w:pPr>
            <w:r w:rsidRPr="00FA35D3">
              <w:t>Operating Income</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€412,075</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€488,525</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€526,383</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€575,910</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€617,643</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€621,198</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€650,717</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€696,766</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€671,170</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€800,612</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€848,790</w:t>
            </w:r>
          </w:p>
        </w:tc>
        <w:tc>
          <w:tcPr>
            <w:tcW w:w="1005" w:type="dxa"/>
            <w:noWrap/>
            <w:vAlign w:val="bottom"/>
          </w:tcPr>
          <w:p w:rsidR="004B110F" w:rsidRPr="00FA35D3" w:rsidRDefault="001B78B5" w:rsidP="00460C2C">
            <w:pPr>
              <w:pStyle w:val="AppendixFinancialTableGroupFooter"/>
              <w:keepNext/>
              <w:keepLines/>
              <w:spacing w:after="280"/>
              <w:cnfStyle w:val="000000000000" w:firstRow="0" w:lastRow="0" w:firstColumn="0" w:lastColumn="0" w:oddVBand="0" w:evenVBand="0" w:oddHBand="0" w:evenHBand="0" w:firstRowFirstColumn="0" w:firstRowLastColumn="0" w:lastRowFirstColumn="0" w:lastRowLastColumn="0"/>
            </w:pPr>
            <w:r w:rsidRPr="00FA35D3">
              <w:t>€918,610</w:t>
            </w:r>
          </w:p>
        </w:tc>
      </w:tr>
      <w:tr w:rsidR="0016590F" w:rsidRPr="00FA35D3" w:rsidTr="00FA35D3">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4B110F" w:rsidP="00460C2C">
            <w:pPr>
              <w:pStyle w:val="AppendixFinancialTableSpacer"/>
              <w:keepNext/>
              <w:keepLines/>
              <w:spacing w:after="280" w:afterAutospacing="1"/>
              <w:rPr>
                <w:sz w:val="14"/>
              </w:rPr>
            </w:pPr>
          </w:p>
        </w:tc>
        <w:tc>
          <w:tcPr>
            <w:tcW w:w="1005" w:type="dxa"/>
            <w:noWrap/>
          </w:tcPr>
          <w:p w:rsidR="004B110F" w:rsidRPr="00FA35D3" w:rsidRDefault="004B110F" w:rsidP="00460C2C">
            <w:pPr>
              <w:pStyle w:val="AppendixFinancialTableSpacer"/>
              <w:keepNext/>
              <w:keepLines/>
              <w:spacing w:after="280" w:afterAutospacing="1"/>
              <w:cnfStyle w:val="000000100000" w:firstRow="0" w:lastRow="0" w:firstColumn="0" w:lastColumn="0" w:oddVBand="0" w:evenVBand="0" w:oddHBand="1" w:evenHBand="0" w:firstRowFirstColumn="0" w:firstRowLastColumn="0" w:lastRowFirstColumn="0" w:lastRowLastColumn="0"/>
              <w:rPr>
                <w:sz w:val="14"/>
              </w:rPr>
            </w:pPr>
          </w:p>
        </w:tc>
        <w:tc>
          <w:tcPr>
            <w:tcW w:w="1005" w:type="dxa"/>
            <w:noWrap/>
          </w:tcPr>
          <w:p w:rsidR="004B110F" w:rsidRPr="00FA35D3" w:rsidRDefault="004B110F" w:rsidP="00460C2C">
            <w:pPr>
              <w:pStyle w:val="AppendixFinancialTableSpacer"/>
              <w:keepNext/>
              <w:keepLines/>
              <w:spacing w:after="280" w:afterAutospacing="1"/>
              <w:cnfStyle w:val="000000100000" w:firstRow="0" w:lastRow="0" w:firstColumn="0" w:lastColumn="0" w:oddVBand="0" w:evenVBand="0" w:oddHBand="1" w:evenHBand="0" w:firstRowFirstColumn="0" w:firstRowLastColumn="0" w:lastRowFirstColumn="0" w:lastRowLastColumn="0"/>
              <w:rPr>
                <w:sz w:val="14"/>
              </w:rPr>
            </w:pPr>
          </w:p>
        </w:tc>
        <w:tc>
          <w:tcPr>
            <w:tcW w:w="1005" w:type="dxa"/>
            <w:noWrap/>
          </w:tcPr>
          <w:p w:rsidR="004B110F" w:rsidRPr="00FA35D3" w:rsidRDefault="004B110F" w:rsidP="00460C2C">
            <w:pPr>
              <w:pStyle w:val="AppendixFinancialTableSpacer"/>
              <w:keepNext/>
              <w:keepLines/>
              <w:spacing w:after="280" w:afterAutospacing="1"/>
              <w:cnfStyle w:val="000000100000" w:firstRow="0" w:lastRow="0" w:firstColumn="0" w:lastColumn="0" w:oddVBand="0" w:evenVBand="0" w:oddHBand="1" w:evenHBand="0" w:firstRowFirstColumn="0" w:firstRowLastColumn="0" w:lastRowFirstColumn="0" w:lastRowLastColumn="0"/>
              <w:rPr>
                <w:sz w:val="14"/>
              </w:rPr>
            </w:pPr>
          </w:p>
        </w:tc>
        <w:tc>
          <w:tcPr>
            <w:tcW w:w="1005" w:type="dxa"/>
            <w:noWrap/>
          </w:tcPr>
          <w:p w:rsidR="004B110F" w:rsidRPr="00FA35D3" w:rsidRDefault="004B110F" w:rsidP="00460C2C">
            <w:pPr>
              <w:pStyle w:val="AppendixFinancialTableSpacer"/>
              <w:keepNext/>
              <w:keepLines/>
              <w:spacing w:after="280" w:afterAutospacing="1"/>
              <w:cnfStyle w:val="000000100000" w:firstRow="0" w:lastRow="0" w:firstColumn="0" w:lastColumn="0" w:oddVBand="0" w:evenVBand="0" w:oddHBand="1" w:evenHBand="0" w:firstRowFirstColumn="0" w:firstRowLastColumn="0" w:lastRowFirstColumn="0" w:lastRowLastColumn="0"/>
              <w:rPr>
                <w:sz w:val="14"/>
              </w:rPr>
            </w:pPr>
          </w:p>
        </w:tc>
        <w:tc>
          <w:tcPr>
            <w:tcW w:w="1005" w:type="dxa"/>
            <w:noWrap/>
          </w:tcPr>
          <w:p w:rsidR="004B110F" w:rsidRPr="00FA35D3" w:rsidRDefault="004B110F" w:rsidP="00460C2C">
            <w:pPr>
              <w:pStyle w:val="AppendixFinancialTableSpacer"/>
              <w:keepNext/>
              <w:keepLines/>
              <w:spacing w:after="280" w:afterAutospacing="1"/>
              <w:cnfStyle w:val="000000100000" w:firstRow="0" w:lastRow="0" w:firstColumn="0" w:lastColumn="0" w:oddVBand="0" w:evenVBand="0" w:oddHBand="1" w:evenHBand="0" w:firstRowFirstColumn="0" w:firstRowLastColumn="0" w:lastRowFirstColumn="0" w:lastRowLastColumn="0"/>
              <w:rPr>
                <w:sz w:val="14"/>
              </w:rPr>
            </w:pPr>
          </w:p>
        </w:tc>
        <w:tc>
          <w:tcPr>
            <w:tcW w:w="1005" w:type="dxa"/>
            <w:noWrap/>
          </w:tcPr>
          <w:p w:rsidR="004B110F" w:rsidRPr="00FA35D3" w:rsidRDefault="004B110F" w:rsidP="00460C2C">
            <w:pPr>
              <w:pStyle w:val="AppendixFinancialTableSpacer"/>
              <w:keepNext/>
              <w:keepLines/>
              <w:spacing w:after="280" w:afterAutospacing="1"/>
              <w:cnfStyle w:val="000000100000" w:firstRow="0" w:lastRow="0" w:firstColumn="0" w:lastColumn="0" w:oddVBand="0" w:evenVBand="0" w:oddHBand="1" w:evenHBand="0" w:firstRowFirstColumn="0" w:firstRowLastColumn="0" w:lastRowFirstColumn="0" w:lastRowLastColumn="0"/>
              <w:rPr>
                <w:sz w:val="14"/>
              </w:rPr>
            </w:pPr>
          </w:p>
        </w:tc>
        <w:tc>
          <w:tcPr>
            <w:tcW w:w="1005" w:type="dxa"/>
            <w:noWrap/>
          </w:tcPr>
          <w:p w:rsidR="004B110F" w:rsidRPr="00FA35D3" w:rsidRDefault="004B110F" w:rsidP="00460C2C">
            <w:pPr>
              <w:pStyle w:val="AppendixFinancialTableSpacer"/>
              <w:keepNext/>
              <w:keepLines/>
              <w:spacing w:after="280" w:afterAutospacing="1"/>
              <w:cnfStyle w:val="000000100000" w:firstRow="0" w:lastRow="0" w:firstColumn="0" w:lastColumn="0" w:oddVBand="0" w:evenVBand="0" w:oddHBand="1" w:evenHBand="0" w:firstRowFirstColumn="0" w:firstRowLastColumn="0" w:lastRowFirstColumn="0" w:lastRowLastColumn="0"/>
              <w:rPr>
                <w:sz w:val="14"/>
              </w:rPr>
            </w:pPr>
          </w:p>
        </w:tc>
        <w:tc>
          <w:tcPr>
            <w:tcW w:w="1005" w:type="dxa"/>
            <w:noWrap/>
          </w:tcPr>
          <w:p w:rsidR="004B110F" w:rsidRPr="00FA35D3" w:rsidRDefault="004B110F" w:rsidP="00460C2C">
            <w:pPr>
              <w:pStyle w:val="AppendixFinancialTableSpacer"/>
              <w:keepNext/>
              <w:keepLines/>
              <w:spacing w:after="280" w:afterAutospacing="1"/>
              <w:cnfStyle w:val="000000100000" w:firstRow="0" w:lastRow="0" w:firstColumn="0" w:lastColumn="0" w:oddVBand="0" w:evenVBand="0" w:oddHBand="1" w:evenHBand="0" w:firstRowFirstColumn="0" w:firstRowLastColumn="0" w:lastRowFirstColumn="0" w:lastRowLastColumn="0"/>
              <w:rPr>
                <w:sz w:val="14"/>
              </w:rPr>
            </w:pPr>
          </w:p>
        </w:tc>
        <w:tc>
          <w:tcPr>
            <w:tcW w:w="1005" w:type="dxa"/>
            <w:noWrap/>
          </w:tcPr>
          <w:p w:rsidR="004B110F" w:rsidRPr="00FA35D3" w:rsidRDefault="004B110F" w:rsidP="00460C2C">
            <w:pPr>
              <w:pStyle w:val="AppendixFinancialTableSpacer"/>
              <w:keepNext/>
              <w:keepLines/>
              <w:spacing w:after="280" w:afterAutospacing="1"/>
              <w:cnfStyle w:val="000000100000" w:firstRow="0" w:lastRow="0" w:firstColumn="0" w:lastColumn="0" w:oddVBand="0" w:evenVBand="0" w:oddHBand="1" w:evenHBand="0" w:firstRowFirstColumn="0" w:firstRowLastColumn="0" w:lastRowFirstColumn="0" w:lastRowLastColumn="0"/>
              <w:rPr>
                <w:sz w:val="14"/>
              </w:rPr>
            </w:pPr>
          </w:p>
        </w:tc>
        <w:tc>
          <w:tcPr>
            <w:tcW w:w="1005" w:type="dxa"/>
            <w:noWrap/>
          </w:tcPr>
          <w:p w:rsidR="004B110F" w:rsidRPr="00FA35D3" w:rsidRDefault="004B110F" w:rsidP="00460C2C">
            <w:pPr>
              <w:pStyle w:val="AppendixFinancialTableSpacer"/>
              <w:keepNext/>
              <w:keepLines/>
              <w:spacing w:after="280" w:afterAutospacing="1"/>
              <w:cnfStyle w:val="000000100000" w:firstRow="0" w:lastRow="0" w:firstColumn="0" w:lastColumn="0" w:oddVBand="0" w:evenVBand="0" w:oddHBand="1" w:evenHBand="0" w:firstRowFirstColumn="0" w:firstRowLastColumn="0" w:lastRowFirstColumn="0" w:lastRowLastColumn="0"/>
              <w:rPr>
                <w:sz w:val="14"/>
              </w:rPr>
            </w:pPr>
          </w:p>
        </w:tc>
        <w:tc>
          <w:tcPr>
            <w:tcW w:w="1005" w:type="dxa"/>
            <w:noWrap/>
          </w:tcPr>
          <w:p w:rsidR="004B110F" w:rsidRPr="00FA35D3" w:rsidRDefault="004B110F" w:rsidP="00460C2C">
            <w:pPr>
              <w:pStyle w:val="AppendixFinancialTableSpacer"/>
              <w:keepNext/>
              <w:keepLines/>
              <w:spacing w:after="280" w:afterAutospacing="1"/>
              <w:cnfStyle w:val="000000100000" w:firstRow="0" w:lastRow="0" w:firstColumn="0" w:lastColumn="0" w:oddVBand="0" w:evenVBand="0" w:oddHBand="1" w:evenHBand="0" w:firstRowFirstColumn="0" w:firstRowLastColumn="0" w:lastRowFirstColumn="0" w:lastRowLastColumn="0"/>
              <w:rPr>
                <w:sz w:val="14"/>
              </w:rPr>
            </w:pPr>
          </w:p>
        </w:tc>
        <w:tc>
          <w:tcPr>
            <w:tcW w:w="1005" w:type="dxa"/>
            <w:noWrap/>
          </w:tcPr>
          <w:p w:rsidR="004B110F" w:rsidRPr="00FA35D3" w:rsidRDefault="004B110F" w:rsidP="00460C2C">
            <w:pPr>
              <w:pStyle w:val="AppendixFinancialTableSpacer"/>
              <w:keepNext/>
              <w:keepLines/>
              <w:spacing w:after="280" w:afterAutospacing="1"/>
              <w:cnfStyle w:val="000000100000" w:firstRow="0" w:lastRow="0" w:firstColumn="0" w:lastColumn="0" w:oddVBand="0" w:evenVBand="0" w:oddHBand="1" w:evenHBand="0" w:firstRowFirstColumn="0" w:firstRowLastColumn="0" w:lastRowFirstColumn="0" w:lastRowLastColumn="0"/>
              <w:rPr>
                <w:sz w:val="14"/>
              </w:rPr>
            </w:pPr>
          </w:p>
        </w:tc>
      </w:tr>
      <w:tr w:rsidR="0016590F" w:rsidRPr="00FA35D3" w:rsidTr="00FA35D3">
        <w:trPr>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1B78B5" w:rsidP="00460C2C">
            <w:pPr>
              <w:pStyle w:val="AppendixFinancialTableItem"/>
              <w:keepNext/>
              <w:keepLines/>
              <w:spacing w:after="280"/>
              <w:rPr>
                <w:sz w:val="14"/>
              </w:rPr>
            </w:pPr>
            <w:r w:rsidRPr="00FA35D3">
              <w:rPr>
                <w:sz w:val="14"/>
              </w:rPr>
              <w:t>Interest Incurred</w:t>
            </w:r>
          </w:p>
        </w:tc>
        <w:tc>
          <w:tcPr>
            <w:tcW w:w="1005" w:type="dxa"/>
            <w:noWrap/>
          </w:tcPr>
          <w:p w:rsidR="004B110F" w:rsidRPr="00FA35D3" w:rsidRDefault="004B110F"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p>
        </w:tc>
        <w:tc>
          <w:tcPr>
            <w:tcW w:w="1005" w:type="dxa"/>
            <w:noWrap/>
          </w:tcPr>
          <w:p w:rsidR="004B110F" w:rsidRPr="00FA35D3" w:rsidRDefault="004B110F"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p>
        </w:tc>
        <w:tc>
          <w:tcPr>
            <w:tcW w:w="1005" w:type="dxa"/>
            <w:noWrap/>
          </w:tcPr>
          <w:p w:rsidR="004B110F" w:rsidRPr="00FA35D3" w:rsidRDefault="004B110F"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p>
        </w:tc>
        <w:tc>
          <w:tcPr>
            <w:tcW w:w="1005" w:type="dxa"/>
            <w:noWrap/>
          </w:tcPr>
          <w:p w:rsidR="004B110F" w:rsidRPr="00FA35D3" w:rsidRDefault="004B110F"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p>
        </w:tc>
        <w:tc>
          <w:tcPr>
            <w:tcW w:w="1005" w:type="dxa"/>
            <w:noWrap/>
          </w:tcPr>
          <w:p w:rsidR="004B110F" w:rsidRPr="00FA35D3" w:rsidRDefault="004B110F"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p>
        </w:tc>
        <w:tc>
          <w:tcPr>
            <w:tcW w:w="1005" w:type="dxa"/>
            <w:noWrap/>
          </w:tcPr>
          <w:p w:rsidR="004B110F" w:rsidRPr="00FA35D3" w:rsidRDefault="004B110F"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p>
        </w:tc>
        <w:tc>
          <w:tcPr>
            <w:tcW w:w="1005" w:type="dxa"/>
            <w:noWrap/>
          </w:tcPr>
          <w:p w:rsidR="004B110F" w:rsidRPr="00FA35D3" w:rsidRDefault="004B110F"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p>
        </w:tc>
        <w:tc>
          <w:tcPr>
            <w:tcW w:w="1005" w:type="dxa"/>
            <w:noWrap/>
          </w:tcPr>
          <w:p w:rsidR="004B110F" w:rsidRPr="00FA35D3" w:rsidRDefault="004B110F"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p>
        </w:tc>
        <w:tc>
          <w:tcPr>
            <w:tcW w:w="1005" w:type="dxa"/>
            <w:noWrap/>
          </w:tcPr>
          <w:p w:rsidR="004B110F" w:rsidRPr="00FA35D3" w:rsidRDefault="004B110F"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p>
        </w:tc>
        <w:tc>
          <w:tcPr>
            <w:tcW w:w="1005" w:type="dxa"/>
            <w:noWrap/>
          </w:tcPr>
          <w:p w:rsidR="004B110F" w:rsidRPr="00FA35D3" w:rsidRDefault="004B110F"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p>
        </w:tc>
        <w:tc>
          <w:tcPr>
            <w:tcW w:w="1005" w:type="dxa"/>
            <w:noWrap/>
          </w:tcPr>
          <w:p w:rsidR="004B110F" w:rsidRPr="00FA35D3" w:rsidRDefault="004B110F"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p>
        </w:tc>
        <w:tc>
          <w:tcPr>
            <w:tcW w:w="1005" w:type="dxa"/>
            <w:noWrap/>
          </w:tcPr>
          <w:p w:rsidR="004B110F" w:rsidRPr="00FA35D3" w:rsidRDefault="004B110F"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p>
        </w:tc>
      </w:tr>
      <w:tr w:rsidR="0016590F" w:rsidRPr="00FA35D3" w:rsidTr="00FA35D3">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1B78B5" w:rsidP="00460C2C">
            <w:pPr>
              <w:pStyle w:val="AppendixFinancialTableItem"/>
              <w:keepNext/>
              <w:keepLines/>
              <w:spacing w:after="280"/>
              <w:rPr>
                <w:sz w:val="14"/>
              </w:rPr>
            </w:pPr>
            <w:r w:rsidRPr="00FA35D3">
              <w:rPr>
                <w:sz w:val="14"/>
              </w:rPr>
              <w:t>Depreciation and Amortization</w:t>
            </w:r>
          </w:p>
        </w:tc>
        <w:tc>
          <w:tcPr>
            <w:tcW w:w="1005" w:type="dxa"/>
            <w:noWrap/>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€41,746</w:t>
            </w:r>
          </w:p>
        </w:tc>
        <w:tc>
          <w:tcPr>
            <w:tcW w:w="1005" w:type="dxa"/>
            <w:noWrap/>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€41,746</w:t>
            </w:r>
          </w:p>
        </w:tc>
        <w:tc>
          <w:tcPr>
            <w:tcW w:w="1005" w:type="dxa"/>
            <w:noWrap/>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€41,885</w:t>
            </w:r>
          </w:p>
        </w:tc>
        <w:tc>
          <w:tcPr>
            <w:tcW w:w="1005" w:type="dxa"/>
            <w:noWrap/>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€41,921</w:t>
            </w:r>
          </w:p>
        </w:tc>
        <w:tc>
          <w:tcPr>
            <w:tcW w:w="1005" w:type="dxa"/>
            <w:noWrap/>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€42,004</w:t>
            </w:r>
          </w:p>
        </w:tc>
        <w:tc>
          <w:tcPr>
            <w:tcW w:w="1005" w:type="dxa"/>
            <w:noWrap/>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€42,004</w:t>
            </w:r>
          </w:p>
        </w:tc>
        <w:tc>
          <w:tcPr>
            <w:tcW w:w="1005" w:type="dxa"/>
            <w:noWrap/>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€42,123</w:t>
            </w:r>
          </w:p>
        </w:tc>
        <w:tc>
          <w:tcPr>
            <w:tcW w:w="1005" w:type="dxa"/>
            <w:noWrap/>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€42,123</w:t>
            </w:r>
          </w:p>
        </w:tc>
        <w:tc>
          <w:tcPr>
            <w:tcW w:w="1005" w:type="dxa"/>
            <w:noWrap/>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€42,206</w:t>
            </w:r>
          </w:p>
        </w:tc>
        <w:tc>
          <w:tcPr>
            <w:tcW w:w="1005" w:type="dxa"/>
            <w:noWrap/>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€42,242</w:t>
            </w:r>
          </w:p>
        </w:tc>
        <w:tc>
          <w:tcPr>
            <w:tcW w:w="1005" w:type="dxa"/>
            <w:noWrap/>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€42,325</w:t>
            </w:r>
          </w:p>
        </w:tc>
        <w:tc>
          <w:tcPr>
            <w:tcW w:w="1005" w:type="dxa"/>
            <w:noWrap/>
          </w:tcPr>
          <w:p w:rsidR="004B110F" w:rsidRPr="00FA35D3" w:rsidRDefault="001B78B5" w:rsidP="00460C2C">
            <w:pPr>
              <w:pStyle w:val="AppendixFinancialTableItem"/>
              <w:keepNext/>
              <w:keepLines/>
              <w:spacing w:after="280"/>
              <w:cnfStyle w:val="000000100000" w:firstRow="0" w:lastRow="0" w:firstColumn="0" w:lastColumn="0" w:oddVBand="0" w:evenVBand="0" w:oddHBand="1" w:evenHBand="0" w:firstRowFirstColumn="0" w:firstRowLastColumn="0" w:lastRowFirstColumn="0" w:lastRowLastColumn="0"/>
              <w:rPr>
                <w:sz w:val="14"/>
              </w:rPr>
            </w:pPr>
            <w:r w:rsidRPr="00FA35D3">
              <w:rPr>
                <w:sz w:val="14"/>
              </w:rPr>
              <w:t>€42,326</w:t>
            </w:r>
          </w:p>
        </w:tc>
      </w:tr>
      <w:tr w:rsidR="0016590F" w:rsidRPr="00FA35D3" w:rsidTr="00FA35D3">
        <w:trPr>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1B78B5" w:rsidP="00460C2C">
            <w:pPr>
              <w:pStyle w:val="AppendixFinancialTableItem"/>
              <w:keepNext/>
              <w:keepLines/>
              <w:spacing w:after="280"/>
              <w:rPr>
                <w:sz w:val="14"/>
              </w:rPr>
            </w:pPr>
            <w:r w:rsidRPr="00FA35D3">
              <w:rPr>
                <w:sz w:val="14"/>
              </w:rPr>
              <w:t>Income Taxes</w:t>
            </w:r>
          </w:p>
        </w:tc>
        <w:tc>
          <w:tcPr>
            <w:tcW w:w="1005" w:type="dxa"/>
            <w:noWrap/>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€129,615</w:t>
            </w:r>
          </w:p>
        </w:tc>
        <w:tc>
          <w:tcPr>
            <w:tcW w:w="1005" w:type="dxa"/>
            <w:noWrap/>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€156,373</w:t>
            </w:r>
          </w:p>
        </w:tc>
        <w:tc>
          <w:tcPr>
            <w:tcW w:w="1005" w:type="dxa"/>
            <w:noWrap/>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€169,574</w:t>
            </w:r>
          </w:p>
        </w:tc>
        <w:tc>
          <w:tcPr>
            <w:tcW w:w="1005" w:type="dxa"/>
            <w:noWrap/>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€186,896</w:t>
            </w:r>
          </w:p>
        </w:tc>
        <w:tc>
          <w:tcPr>
            <w:tcW w:w="1005" w:type="dxa"/>
            <w:noWrap/>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€201,474</w:t>
            </w:r>
          </w:p>
        </w:tc>
        <w:tc>
          <w:tcPr>
            <w:tcW w:w="1005" w:type="dxa"/>
            <w:noWrap/>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€202,718</w:t>
            </w:r>
          </w:p>
        </w:tc>
        <w:tc>
          <w:tcPr>
            <w:tcW w:w="1005" w:type="dxa"/>
            <w:noWrap/>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€213,008</w:t>
            </w:r>
          </w:p>
        </w:tc>
        <w:tc>
          <w:tcPr>
            <w:tcW w:w="1005" w:type="dxa"/>
            <w:noWrap/>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€229,125</w:t>
            </w:r>
          </w:p>
        </w:tc>
        <w:tc>
          <w:tcPr>
            <w:tcW w:w="1005" w:type="dxa"/>
            <w:noWrap/>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€220,137</w:t>
            </w:r>
          </w:p>
        </w:tc>
        <w:tc>
          <w:tcPr>
            <w:tcW w:w="1005" w:type="dxa"/>
            <w:noWrap/>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€265,430</w:t>
            </w:r>
          </w:p>
        </w:tc>
        <w:tc>
          <w:tcPr>
            <w:tcW w:w="1005" w:type="dxa"/>
            <w:noWrap/>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€282,262</w:t>
            </w:r>
          </w:p>
        </w:tc>
        <w:tc>
          <w:tcPr>
            <w:tcW w:w="1005" w:type="dxa"/>
            <w:noWrap/>
          </w:tcPr>
          <w:p w:rsidR="004B110F" w:rsidRPr="00FA35D3" w:rsidRDefault="001B78B5" w:rsidP="00460C2C">
            <w:pPr>
              <w:pStyle w:val="AppendixFinancialTableItem"/>
              <w:keepNext/>
              <w:keepLines/>
              <w:spacing w:after="280"/>
              <w:cnfStyle w:val="000000000000" w:firstRow="0" w:lastRow="0" w:firstColumn="0" w:lastColumn="0" w:oddVBand="0" w:evenVBand="0" w:oddHBand="0" w:evenHBand="0" w:firstRowFirstColumn="0" w:firstRowLastColumn="0" w:lastRowFirstColumn="0" w:lastRowLastColumn="0"/>
              <w:rPr>
                <w:sz w:val="14"/>
              </w:rPr>
            </w:pPr>
            <w:r w:rsidRPr="00FA35D3">
              <w:rPr>
                <w:sz w:val="14"/>
              </w:rPr>
              <w:t>€306,700</w:t>
            </w:r>
          </w:p>
        </w:tc>
      </w:tr>
      <w:tr w:rsidR="0016590F" w:rsidRPr="00FA35D3" w:rsidTr="00FA35D3">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1B78B5" w:rsidP="00460C2C">
            <w:pPr>
              <w:pStyle w:val="AppendixFinancialTableGroupHeader"/>
              <w:keepNext/>
              <w:keepLines/>
              <w:spacing w:after="280"/>
            </w:pPr>
            <w:r w:rsidRPr="00FA35D3">
              <w:t>Total Expenses</w:t>
            </w:r>
          </w:p>
        </w:tc>
        <w:tc>
          <w:tcPr>
            <w:tcW w:w="1005" w:type="dxa"/>
            <w:noWrap/>
          </w:tcPr>
          <w:p w:rsidR="004B110F" w:rsidRPr="00FA35D3" w:rsidRDefault="001B78B5" w:rsidP="00460C2C">
            <w:pPr>
              <w:pStyle w:val="AppendixFinancialTableGroupHeader"/>
              <w:keepNext/>
              <w:keepLines/>
              <w:spacing w:after="280"/>
              <w:cnfStyle w:val="000000100000" w:firstRow="0" w:lastRow="0" w:firstColumn="0" w:lastColumn="0" w:oddVBand="0" w:evenVBand="0" w:oddHBand="1" w:evenHBand="0" w:firstRowFirstColumn="0" w:firstRowLastColumn="0" w:lastRowFirstColumn="0" w:lastRowLastColumn="0"/>
            </w:pPr>
            <w:r w:rsidRPr="00FA35D3">
              <w:t>€1,738,619</w:t>
            </w:r>
          </w:p>
        </w:tc>
        <w:tc>
          <w:tcPr>
            <w:tcW w:w="1005" w:type="dxa"/>
            <w:noWrap/>
          </w:tcPr>
          <w:p w:rsidR="004B110F" w:rsidRPr="00FA35D3" w:rsidRDefault="001B78B5" w:rsidP="00460C2C">
            <w:pPr>
              <w:pStyle w:val="AppendixFinancialTableGroupHeader"/>
              <w:keepNext/>
              <w:keepLines/>
              <w:spacing w:after="280"/>
              <w:cnfStyle w:val="000000100000" w:firstRow="0" w:lastRow="0" w:firstColumn="0" w:lastColumn="0" w:oddVBand="0" w:evenVBand="0" w:oddHBand="1" w:evenHBand="0" w:firstRowFirstColumn="0" w:firstRowLastColumn="0" w:lastRowFirstColumn="0" w:lastRowLastColumn="0"/>
            </w:pPr>
            <w:r w:rsidRPr="00FA35D3">
              <w:t>€1,832,928</w:t>
            </w:r>
          </w:p>
        </w:tc>
        <w:tc>
          <w:tcPr>
            <w:tcW w:w="1005" w:type="dxa"/>
            <w:noWrap/>
          </w:tcPr>
          <w:p w:rsidR="004B110F" w:rsidRPr="00FA35D3" w:rsidRDefault="001B78B5" w:rsidP="00460C2C">
            <w:pPr>
              <w:pStyle w:val="AppendixFinancialTableGroupHeader"/>
              <w:keepNext/>
              <w:keepLines/>
              <w:spacing w:after="280"/>
              <w:cnfStyle w:val="000000100000" w:firstRow="0" w:lastRow="0" w:firstColumn="0" w:lastColumn="0" w:oddVBand="0" w:evenVBand="0" w:oddHBand="1" w:evenHBand="0" w:firstRowFirstColumn="0" w:firstRowLastColumn="0" w:lastRowFirstColumn="0" w:lastRowLastColumn="0"/>
            </w:pPr>
            <w:r w:rsidRPr="00FA35D3">
              <w:t>€1,918,408</w:t>
            </w:r>
          </w:p>
        </w:tc>
        <w:tc>
          <w:tcPr>
            <w:tcW w:w="1005" w:type="dxa"/>
            <w:noWrap/>
          </w:tcPr>
          <w:p w:rsidR="004B110F" w:rsidRPr="00FA35D3" w:rsidRDefault="001B78B5" w:rsidP="00460C2C">
            <w:pPr>
              <w:pStyle w:val="AppendixFinancialTableGroupHeader"/>
              <w:keepNext/>
              <w:keepLines/>
              <w:spacing w:after="280"/>
              <w:cnfStyle w:val="000000100000" w:firstRow="0" w:lastRow="0" w:firstColumn="0" w:lastColumn="0" w:oddVBand="0" w:evenVBand="0" w:oddHBand="1" w:evenHBand="0" w:firstRowFirstColumn="0" w:firstRowLastColumn="0" w:lastRowFirstColumn="0" w:lastRowLastColumn="0"/>
            </w:pPr>
            <w:r w:rsidRPr="00FA35D3">
              <w:t>€1,996,240</w:t>
            </w:r>
          </w:p>
        </w:tc>
        <w:tc>
          <w:tcPr>
            <w:tcW w:w="1005" w:type="dxa"/>
            <w:noWrap/>
          </w:tcPr>
          <w:p w:rsidR="004B110F" w:rsidRPr="00FA35D3" w:rsidRDefault="001B78B5" w:rsidP="00460C2C">
            <w:pPr>
              <w:pStyle w:val="AppendixFinancialTableGroupHeader"/>
              <w:keepNext/>
              <w:keepLines/>
              <w:spacing w:after="280"/>
              <w:cnfStyle w:val="000000100000" w:firstRow="0" w:lastRow="0" w:firstColumn="0" w:lastColumn="0" w:oddVBand="0" w:evenVBand="0" w:oddHBand="1" w:evenHBand="0" w:firstRowFirstColumn="0" w:firstRowLastColumn="0" w:lastRowFirstColumn="0" w:lastRowLastColumn="0"/>
            </w:pPr>
            <w:r w:rsidRPr="00FA35D3">
              <w:t>€2,079,168</w:t>
            </w:r>
          </w:p>
        </w:tc>
        <w:tc>
          <w:tcPr>
            <w:tcW w:w="1005" w:type="dxa"/>
            <w:noWrap/>
          </w:tcPr>
          <w:p w:rsidR="004B110F" w:rsidRPr="00FA35D3" w:rsidRDefault="001B78B5" w:rsidP="00460C2C">
            <w:pPr>
              <w:pStyle w:val="AppendixFinancialTableGroupHeader"/>
              <w:keepNext/>
              <w:keepLines/>
              <w:spacing w:after="280"/>
              <w:cnfStyle w:val="000000100000" w:firstRow="0" w:lastRow="0" w:firstColumn="0" w:lastColumn="0" w:oddVBand="0" w:evenVBand="0" w:oddHBand="1" w:evenHBand="0" w:firstRowFirstColumn="0" w:firstRowLastColumn="0" w:lastRowFirstColumn="0" w:lastRowLastColumn="0"/>
            </w:pPr>
            <w:r w:rsidRPr="00FA35D3">
              <w:t>€2,086,856</w:t>
            </w:r>
          </w:p>
        </w:tc>
        <w:tc>
          <w:tcPr>
            <w:tcW w:w="1005" w:type="dxa"/>
            <w:noWrap/>
          </w:tcPr>
          <w:p w:rsidR="004B110F" w:rsidRPr="00FA35D3" w:rsidRDefault="001B78B5" w:rsidP="00460C2C">
            <w:pPr>
              <w:pStyle w:val="AppendixFinancialTableGroupHeader"/>
              <w:keepNext/>
              <w:keepLines/>
              <w:spacing w:after="280"/>
              <w:cnfStyle w:val="000000100000" w:firstRow="0" w:lastRow="0" w:firstColumn="0" w:lastColumn="0" w:oddVBand="0" w:evenVBand="0" w:oddHBand="1" w:evenHBand="0" w:firstRowFirstColumn="0" w:firstRowLastColumn="0" w:lastRowFirstColumn="0" w:lastRowLastColumn="0"/>
            </w:pPr>
            <w:r w:rsidRPr="00FA35D3">
              <w:t>€2,177,748</w:t>
            </w:r>
          </w:p>
        </w:tc>
        <w:tc>
          <w:tcPr>
            <w:tcW w:w="1005" w:type="dxa"/>
            <w:noWrap/>
          </w:tcPr>
          <w:p w:rsidR="004B110F" w:rsidRPr="00FA35D3" w:rsidRDefault="001B78B5" w:rsidP="00460C2C">
            <w:pPr>
              <w:pStyle w:val="AppendixFinancialTableGroupHeader"/>
              <w:keepNext/>
              <w:keepLines/>
              <w:spacing w:after="280"/>
              <w:cnfStyle w:val="000000100000" w:firstRow="0" w:lastRow="0" w:firstColumn="0" w:lastColumn="0" w:oddVBand="0" w:evenVBand="0" w:oddHBand="1" w:evenHBand="0" w:firstRowFirstColumn="0" w:firstRowLastColumn="0" w:lastRowFirstColumn="0" w:lastRowLastColumn="0"/>
            </w:pPr>
            <w:r w:rsidRPr="00FA35D3">
              <w:t>€2,257,814</w:t>
            </w:r>
          </w:p>
        </w:tc>
        <w:tc>
          <w:tcPr>
            <w:tcW w:w="1005" w:type="dxa"/>
            <w:noWrap/>
          </w:tcPr>
          <w:p w:rsidR="004B110F" w:rsidRPr="00FA35D3" w:rsidRDefault="001B78B5" w:rsidP="00460C2C">
            <w:pPr>
              <w:pStyle w:val="AppendixFinancialTableGroupHeader"/>
              <w:keepNext/>
              <w:keepLines/>
              <w:spacing w:after="280"/>
              <w:cnfStyle w:val="000000100000" w:firstRow="0" w:lastRow="0" w:firstColumn="0" w:lastColumn="0" w:oddVBand="0" w:evenVBand="0" w:oddHBand="1" w:evenHBand="0" w:firstRowFirstColumn="0" w:firstRowLastColumn="0" w:lastRowFirstColumn="0" w:lastRowLastColumn="0"/>
            </w:pPr>
            <w:r w:rsidRPr="00FA35D3">
              <w:t>€2,284,507</w:t>
            </w:r>
          </w:p>
        </w:tc>
        <w:tc>
          <w:tcPr>
            <w:tcW w:w="1005" w:type="dxa"/>
            <w:noWrap/>
          </w:tcPr>
          <w:p w:rsidR="004B110F" w:rsidRPr="00FA35D3" w:rsidRDefault="001B78B5" w:rsidP="00460C2C">
            <w:pPr>
              <w:pStyle w:val="AppendixFinancialTableGroupHeader"/>
              <w:keepNext/>
              <w:keepLines/>
              <w:spacing w:after="280"/>
              <w:cnfStyle w:val="000000100000" w:firstRow="0" w:lastRow="0" w:firstColumn="0" w:lastColumn="0" w:oddVBand="0" w:evenVBand="0" w:oddHBand="1" w:evenHBand="0" w:firstRowFirstColumn="0" w:firstRowLastColumn="0" w:lastRowFirstColumn="0" w:lastRowLastColumn="0"/>
            </w:pPr>
            <w:r w:rsidRPr="00FA35D3">
              <w:t>€2,410,393</w:t>
            </w:r>
          </w:p>
        </w:tc>
        <w:tc>
          <w:tcPr>
            <w:tcW w:w="1005" w:type="dxa"/>
            <w:noWrap/>
          </w:tcPr>
          <w:p w:rsidR="004B110F" w:rsidRPr="00FA35D3" w:rsidRDefault="001B78B5" w:rsidP="00460C2C">
            <w:pPr>
              <w:pStyle w:val="AppendixFinancialTableGroupHeader"/>
              <w:keepNext/>
              <w:keepLines/>
              <w:spacing w:after="280"/>
              <w:cnfStyle w:val="000000100000" w:firstRow="0" w:lastRow="0" w:firstColumn="0" w:lastColumn="0" w:oddVBand="0" w:evenVBand="0" w:oddHBand="1" w:evenHBand="0" w:firstRowFirstColumn="0" w:firstRowLastColumn="0" w:lastRowFirstColumn="0" w:lastRowLastColumn="0"/>
            </w:pPr>
            <w:r w:rsidRPr="00FA35D3">
              <w:t>€2,489,131</w:t>
            </w:r>
          </w:p>
        </w:tc>
        <w:tc>
          <w:tcPr>
            <w:tcW w:w="1005" w:type="dxa"/>
            <w:noWrap/>
          </w:tcPr>
          <w:p w:rsidR="004B110F" w:rsidRPr="00FA35D3" w:rsidRDefault="001B78B5" w:rsidP="00460C2C">
            <w:pPr>
              <w:pStyle w:val="AppendixFinancialTableGroupHeader"/>
              <w:keepNext/>
              <w:keepLines/>
              <w:spacing w:after="280"/>
              <w:cnfStyle w:val="000000100000" w:firstRow="0" w:lastRow="0" w:firstColumn="0" w:lastColumn="0" w:oddVBand="0" w:evenVBand="0" w:oddHBand="1" w:evenHBand="0" w:firstRowFirstColumn="0" w:firstRowLastColumn="0" w:lastRowFirstColumn="0" w:lastRowLastColumn="0"/>
            </w:pPr>
            <w:r w:rsidRPr="00FA35D3">
              <w:t>€2,573,755</w:t>
            </w:r>
          </w:p>
        </w:tc>
      </w:tr>
      <w:tr w:rsidR="0016590F" w:rsidRPr="00FA35D3" w:rsidTr="00FA35D3">
        <w:trPr>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1B78B5" w:rsidP="00460C2C">
            <w:pPr>
              <w:pStyle w:val="AppendixFinancialTableGroupHeader"/>
              <w:keepNext/>
              <w:keepLines/>
              <w:spacing w:after="280"/>
            </w:pPr>
            <w:r w:rsidRPr="00FA35D3">
              <w:t>Net Profit</w:t>
            </w:r>
          </w:p>
        </w:tc>
        <w:tc>
          <w:tcPr>
            <w:tcW w:w="1005" w:type="dxa"/>
            <w:noWrap/>
          </w:tcPr>
          <w:p w:rsidR="004B110F" w:rsidRPr="00FA35D3" w:rsidRDefault="001B78B5" w:rsidP="00460C2C">
            <w:pPr>
              <w:pStyle w:val="AppendixFinancialTableGroupHeader"/>
              <w:keepNext/>
              <w:keepLines/>
              <w:spacing w:after="280"/>
              <w:cnfStyle w:val="000000000000" w:firstRow="0" w:lastRow="0" w:firstColumn="0" w:lastColumn="0" w:oddVBand="0" w:evenVBand="0" w:oddHBand="0" w:evenHBand="0" w:firstRowFirstColumn="0" w:firstRowLastColumn="0" w:lastRowFirstColumn="0" w:lastRowLastColumn="0"/>
            </w:pPr>
            <w:r w:rsidRPr="00FA35D3">
              <w:t>€240,714</w:t>
            </w:r>
          </w:p>
        </w:tc>
        <w:tc>
          <w:tcPr>
            <w:tcW w:w="1005" w:type="dxa"/>
            <w:noWrap/>
          </w:tcPr>
          <w:p w:rsidR="004B110F" w:rsidRPr="00FA35D3" w:rsidRDefault="001B78B5" w:rsidP="00460C2C">
            <w:pPr>
              <w:pStyle w:val="AppendixFinancialTableGroupHeader"/>
              <w:keepNext/>
              <w:keepLines/>
              <w:spacing w:after="280"/>
              <w:cnfStyle w:val="000000000000" w:firstRow="0" w:lastRow="0" w:firstColumn="0" w:lastColumn="0" w:oddVBand="0" w:evenVBand="0" w:oddHBand="0" w:evenHBand="0" w:firstRowFirstColumn="0" w:firstRowLastColumn="0" w:lastRowFirstColumn="0" w:lastRowLastColumn="0"/>
            </w:pPr>
            <w:r w:rsidRPr="00FA35D3">
              <w:t>€290,405</w:t>
            </w:r>
          </w:p>
        </w:tc>
        <w:tc>
          <w:tcPr>
            <w:tcW w:w="1005" w:type="dxa"/>
            <w:noWrap/>
          </w:tcPr>
          <w:p w:rsidR="004B110F" w:rsidRPr="00FA35D3" w:rsidRDefault="001B78B5" w:rsidP="00460C2C">
            <w:pPr>
              <w:pStyle w:val="AppendixFinancialTableGroupHeader"/>
              <w:keepNext/>
              <w:keepLines/>
              <w:spacing w:after="280"/>
              <w:cnfStyle w:val="000000000000" w:firstRow="0" w:lastRow="0" w:firstColumn="0" w:lastColumn="0" w:oddVBand="0" w:evenVBand="0" w:oddHBand="0" w:evenHBand="0" w:firstRowFirstColumn="0" w:firstRowLastColumn="0" w:lastRowFirstColumn="0" w:lastRowLastColumn="0"/>
            </w:pPr>
            <w:r w:rsidRPr="00FA35D3">
              <w:t>€314,925</w:t>
            </w:r>
          </w:p>
        </w:tc>
        <w:tc>
          <w:tcPr>
            <w:tcW w:w="1005" w:type="dxa"/>
            <w:noWrap/>
          </w:tcPr>
          <w:p w:rsidR="004B110F" w:rsidRPr="00FA35D3" w:rsidRDefault="001B78B5" w:rsidP="00460C2C">
            <w:pPr>
              <w:pStyle w:val="AppendixFinancialTableGroupHeader"/>
              <w:keepNext/>
              <w:keepLines/>
              <w:spacing w:after="280"/>
              <w:cnfStyle w:val="000000000000" w:firstRow="0" w:lastRow="0" w:firstColumn="0" w:lastColumn="0" w:oddVBand="0" w:evenVBand="0" w:oddHBand="0" w:evenHBand="0" w:firstRowFirstColumn="0" w:firstRowLastColumn="0" w:lastRowFirstColumn="0" w:lastRowLastColumn="0"/>
            </w:pPr>
            <w:r w:rsidRPr="00FA35D3">
              <w:t>€347,093</w:t>
            </w:r>
          </w:p>
        </w:tc>
        <w:tc>
          <w:tcPr>
            <w:tcW w:w="1005" w:type="dxa"/>
            <w:noWrap/>
          </w:tcPr>
          <w:p w:rsidR="004B110F" w:rsidRPr="00FA35D3" w:rsidRDefault="001B78B5" w:rsidP="00460C2C">
            <w:pPr>
              <w:pStyle w:val="AppendixFinancialTableGroupHeader"/>
              <w:keepNext/>
              <w:keepLines/>
              <w:spacing w:after="280"/>
              <w:cnfStyle w:val="000000000000" w:firstRow="0" w:lastRow="0" w:firstColumn="0" w:lastColumn="0" w:oddVBand="0" w:evenVBand="0" w:oddHBand="0" w:evenHBand="0" w:firstRowFirstColumn="0" w:firstRowLastColumn="0" w:lastRowFirstColumn="0" w:lastRowLastColumn="0"/>
            </w:pPr>
            <w:r w:rsidRPr="00FA35D3">
              <w:t>€374,165</w:t>
            </w:r>
          </w:p>
        </w:tc>
        <w:tc>
          <w:tcPr>
            <w:tcW w:w="1005" w:type="dxa"/>
            <w:noWrap/>
          </w:tcPr>
          <w:p w:rsidR="004B110F" w:rsidRPr="00FA35D3" w:rsidRDefault="001B78B5" w:rsidP="00460C2C">
            <w:pPr>
              <w:pStyle w:val="AppendixFinancialTableGroupHeader"/>
              <w:keepNext/>
              <w:keepLines/>
              <w:spacing w:after="280"/>
              <w:cnfStyle w:val="000000000000" w:firstRow="0" w:lastRow="0" w:firstColumn="0" w:lastColumn="0" w:oddVBand="0" w:evenVBand="0" w:oddHBand="0" w:evenHBand="0" w:firstRowFirstColumn="0" w:firstRowLastColumn="0" w:lastRowFirstColumn="0" w:lastRowLastColumn="0"/>
            </w:pPr>
            <w:r w:rsidRPr="00FA35D3">
              <w:t>€376,477</w:t>
            </w:r>
          </w:p>
        </w:tc>
        <w:tc>
          <w:tcPr>
            <w:tcW w:w="1005" w:type="dxa"/>
            <w:noWrap/>
          </w:tcPr>
          <w:p w:rsidR="004B110F" w:rsidRPr="00FA35D3" w:rsidRDefault="001B78B5" w:rsidP="00460C2C">
            <w:pPr>
              <w:pStyle w:val="AppendixFinancialTableGroupHeader"/>
              <w:keepNext/>
              <w:keepLines/>
              <w:spacing w:after="280"/>
              <w:cnfStyle w:val="000000000000" w:firstRow="0" w:lastRow="0" w:firstColumn="0" w:lastColumn="0" w:oddVBand="0" w:evenVBand="0" w:oddHBand="0" w:evenHBand="0" w:firstRowFirstColumn="0" w:firstRowLastColumn="0" w:lastRowFirstColumn="0" w:lastRowLastColumn="0"/>
            </w:pPr>
            <w:r w:rsidRPr="00FA35D3">
              <w:t>€395,585</w:t>
            </w:r>
          </w:p>
        </w:tc>
        <w:tc>
          <w:tcPr>
            <w:tcW w:w="1005" w:type="dxa"/>
            <w:noWrap/>
          </w:tcPr>
          <w:p w:rsidR="004B110F" w:rsidRPr="00FA35D3" w:rsidRDefault="001B78B5" w:rsidP="00460C2C">
            <w:pPr>
              <w:pStyle w:val="AppendixFinancialTableGroupHeader"/>
              <w:keepNext/>
              <w:keepLines/>
              <w:spacing w:after="280"/>
              <w:cnfStyle w:val="000000000000" w:firstRow="0" w:lastRow="0" w:firstColumn="0" w:lastColumn="0" w:oddVBand="0" w:evenVBand="0" w:oddHBand="0" w:evenHBand="0" w:firstRowFirstColumn="0" w:firstRowLastColumn="0" w:lastRowFirstColumn="0" w:lastRowLastColumn="0"/>
            </w:pPr>
            <w:r w:rsidRPr="00FA35D3">
              <w:t>€425,519</w:t>
            </w:r>
          </w:p>
        </w:tc>
        <w:tc>
          <w:tcPr>
            <w:tcW w:w="1005" w:type="dxa"/>
            <w:noWrap/>
          </w:tcPr>
          <w:p w:rsidR="004B110F" w:rsidRPr="00FA35D3" w:rsidRDefault="001B78B5" w:rsidP="00460C2C">
            <w:pPr>
              <w:pStyle w:val="AppendixFinancialTableGroupHeader"/>
              <w:keepNext/>
              <w:keepLines/>
              <w:spacing w:after="280"/>
              <w:cnfStyle w:val="000000000000" w:firstRow="0" w:lastRow="0" w:firstColumn="0" w:lastColumn="0" w:oddVBand="0" w:evenVBand="0" w:oddHBand="0" w:evenHBand="0" w:firstRowFirstColumn="0" w:firstRowLastColumn="0" w:lastRowFirstColumn="0" w:lastRowLastColumn="0"/>
            </w:pPr>
            <w:r w:rsidRPr="00FA35D3">
              <w:t>€408,826</w:t>
            </w:r>
          </w:p>
        </w:tc>
        <w:tc>
          <w:tcPr>
            <w:tcW w:w="1005" w:type="dxa"/>
            <w:noWrap/>
          </w:tcPr>
          <w:p w:rsidR="004B110F" w:rsidRPr="00FA35D3" w:rsidRDefault="001B78B5" w:rsidP="00460C2C">
            <w:pPr>
              <w:pStyle w:val="AppendixFinancialTableGroupHeader"/>
              <w:keepNext/>
              <w:keepLines/>
              <w:spacing w:after="280"/>
              <w:cnfStyle w:val="000000000000" w:firstRow="0" w:lastRow="0" w:firstColumn="0" w:lastColumn="0" w:oddVBand="0" w:evenVBand="0" w:oddHBand="0" w:evenHBand="0" w:firstRowFirstColumn="0" w:firstRowLastColumn="0" w:lastRowFirstColumn="0" w:lastRowLastColumn="0"/>
            </w:pPr>
            <w:r w:rsidRPr="00FA35D3">
              <w:t>€492,940</w:t>
            </w:r>
          </w:p>
        </w:tc>
        <w:tc>
          <w:tcPr>
            <w:tcW w:w="1005" w:type="dxa"/>
            <w:noWrap/>
          </w:tcPr>
          <w:p w:rsidR="004B110F" w:rsidRPr="00FA35D3" w:rsidRDefault="001B78B5" w:rsidP="00460C2C">
            <w:pPr>
              <w:pStyle w:val="AppendixFinancialTableGroupHeader"/>
              <w:keepNext/>
              <w:keepLines/>
              <w:spacing w:after="280"/>
              <w:cnfStyle w:val="000000000000" w:firstRow="0" w:lastRow="0" w:firstColumn="0" w:lastColumn="0" w:oddVBand="0" w:evenVBand="0" w:oddHBand="0" w:evenHBand="0" w:firstRowFirstColumn="0" w:firstRowLastColumn="0" w:lastRowFirstColumn="0" w:lastRowLastColumn="0"/>
            </w:pPr>
            <w:r w:rsidRPr="00FA35D3">
              <w:t>€524,202</w:t>
            </w:r>
          </w:p>
        </w:tc>
        <w:tc>
          <w:tcPr>
            <w:tcW w:w="1005" w:type="dxa"/>
            <w:noWrap/>
          </w:tcPr>
          <w:p w:rsidR="004B110F" w:rsidRPr="00FA35D3" w:rsidRDefault="001B78B5" w:rsidP="00460C2C">
            <w:pPr>
              <w:pStyle w:val="AppendixFinancialTableGroupHeader"/>
              <w:keepNext/>
              <w:keepLines/>
              <w:spacing w:after="280"/>
              <w:cnfStyle w:val="000000000000" w:firstRow="0" w:lastRow="0" w:firstColumn="0" w:lastColumn="0" w:oddVBand="0" w:evenVBand="0" w:oddHBand="0" w:evenHBand="0" w:firstRowFirstColumn="0" w:firstRowLastColumn="0" w:lastRowFirstColumn="0" w:lastRowLastColumn="0"/>
            </w:pPr>
            <w:r w:rsidRPr="00FA35D3">
              <w:t>€569,585</w:t>
            </w:r>
          </w:p>
        </w:tc>
      </w:tr>
      <w:tr w:rsidR="0016590F" w:rsidRPr="00FA35D3" w:rsidTr="00FA35D3">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58" w:type="dxa"/>
            <w:vAlign w:val="center"/>
          </w:tcPr>
          <w:p w:rsidR="004B110F" w:rsidRPr="00FA35D3" w:rsidRDefault="001B78B5" w:rsidP="00460C2C">
            <w:pPr>
              <w:pStyle w:val="AppendixFinancialTableGroupFooter"/>
              <w:keepNext/>
              <w:keepLines/>
              <w:spacing w:after="280"/>
            </w:pPr>
            <w:r w:rsidRPr="00FA35D3">
              <w:t>Net Profit / Sales</w:t>
            </w:r>
          </w:p>
        </w:tc>
        <w:tc>
          <w:tcPr>
            <w:tcW w:w="1005" w:type="dxa"/>
            <w:noWrap/>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12%</w:t>
            </w:r>
          </w:p>
        </w:tc>
        <w:tc>
          <w:tcPr>
            <w:tcW w:w="1005" w:type="dxa"/>
            <w:noWrap/>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14%</w:t>
            </w:r>
          </w:p>
        </w:tc>
        <w:tc>
          <w:tcPr>
            <w:tcW w:w="1005" w:type="dxa"/>
            <w:noWrap/>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14%</w:t>
            </w:r>
          </w:p>
        </w:tc>
        <w:tc>
          <w:tcPr>
            <w:tcW w:w="1005" w:type="dxa"/>
            <w:noWrap/>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15%</w:t>
            </w:r>
          </w:p>
        </w:tc>
        <w:tc>
          <w:tcPr>
            <w:tcW w:w="1005" w:type="dxa"/>
            <w:noWrap/>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15%</w:t>
            </w:r>
          </w:p>
        </w:tc>
        <w:tc>
          <w:tcPr>
            <w:tcW w:w="1005" w:type="dxa"/>
            <w:noWrap/>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15%</w:t>
            </w:r>
          </w:p>
        </w:tc>
        <w:tc>
          <w:tcPr>
            <w:tcW w:w="1005" w:type="dxa"/>
            <w:noWrap/>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15%</w:t>
            </w:r>
          </w:p>
        </w:tc>
        <w:tc>
          <w:tcPr>
            <w:tcW w:w="1005" w:type="dxa"/>
            <w:noWrap/>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16%</w:t>
            </w:r>
          </w:p>
        </w:tc>
        <w:tc>
          <w:tcPr>
            <w:tcW w:w="1005" w:type="dxa"/>
            <w:noWrap/>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15%</w:t>
            </w:r>
          </w:p>
        </w:tc>
        <w:tc>
          <w:tcPr>
            <w:tcW w:w="1005" w:type="dxa"/>
            <w:noWrap/>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17%</w:t>
            </w:r>
          </w:p>
        </w:tc>
        <w:tc>
          <w:tcPr>
            <w:tcW w:w="1005" w:type="dxa"/>
            <w:noWrap/>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17%</w:t>
            </w:r>
          </w:p>
        </w:tc>
        <w:tc>
          <w:tcPr>
            <w:tcW w:w="1005" w:type="dxa"/>
            <w:noWrap/>
          </w:tcPr>
          <w:p w:rsidR="004B110F" w:rsidRPr="00FA35D3" w:rsidRDefault="001B78B5" w:rsidP="00460C2C">
            <w:pPr>
              <w:pStyle w:val="AppendixFinancialTableGroupFooter"/>
              <w:keepNext/>
              <w:keepLines/>
              <w:spacing w:after="280"/>
              <w:cnfStyle w:val="000000100000" w:firstRow="0" w:lastRow="0" w:firstColumn="0" w:lastColumn="0" w:oddVBand="0" w:evenVBand="0" w:oddHBand="1" w:evenHBand="0" w:firstRowFirstColumn="0" w:firstRowLastColumn="0" w:lastRowFirstColumn="0" w:lastRowLastColumn="0"/>
            </w:pPr>
            <w:r w:rsidRPr="00FA35D3">
              <w:t>18%</w:t>
            </w:r>
          </w:p>
        </w:tc>
      </w:tr>
    </w:tbl>
    <w:tbl>
      <w:tblPr>
        <w:tblW w:w="0" w:type="auto"/>
        <w:jc w:val="center"/>
        <w:tblLayout w:type="fixed"/>
        <w:tblLook w:val="04A0" w:firstRow="1" w:lastRow="0" w:firstColumn="1" w:lastColumn="0" w:noHBand="0" w:noVBand="1"/>
      </w:tblPr>
      <w:tblGrid>
        <w:gridCol w:w="2160"/>
        <w:gridCol w:w="2160"/>
        <w:gridCol w:w="2160"/>
        <w:gridCol w:w="2160"/>
        <w:gridCol w:w="2160"/>
        <w:gridCol w:w="2160"/>
      </w:tblGrid>
      <w:tr w:rsidR="0016590F" w:rsidTr="00D16558">
        <w:trPr>
          <w:cantSplit/>
          <w:jc w:val="center"/>
        </w:trPr>
        <w:tc>
          <w:tcPr>
            <w:tcW w:w="2160" w:type="dxa"/>
            <w:tcBorders>
              <w:top w:val="nil"/>
              <w:left w:val="nil"/>
              <w:bottom w:val="single" w:sz="8" w:space="0" w:color="000000"/>
              <w:right w:val="nil"/>
              <w:tl2br w:val="nil"/>
              <w:tr2bl w:val="nil"/>
            </w:tcBorders>
            <w:shd w:val="clear" w:color="auto" w:fill="018BB3"/>
            <w:tcMar>
              <w:top w:w="60" w:type="dxa"/>
              <w:left w:w="0" w:type="dxa"/>
              <w:bottom w:w="100" w:type="dxa"/>
              <w:right w:w="0" w:type="dxa"/>
            </w:tcMar>
            <w:vAlign w:val="center"/>
          </w:tcPr>
          <w:p w:rsidR="004B110F" w:rsidRDefault="004B110F" w:rsidP="00460C2C">
            <w:pPr>
              <w:pStyle w:val="AppendixFinancialTableHeader"/>
              <w:keepNext/>
              <w:keepLines/>
              <w:spacing w:after="280"/>
            </w:pPr>
          </w:p>
        </w:tc>
        <w:tc>
          <w:tcPr>
            <w:tcW w:w="2160" w:type="dxa"/>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2019</w:t>
            </w:r>
          </w:p>
        </w:tc>
        <w:tc>
          <w:tcPr>
            <w:tcW w:w="2160" w:type="dxa"/>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2020</w:t>
            </w:r>
          </w:p>
        </w:tc>
        <w:tc>
          <w:tcPr>
            <w:tcW w:w="2160" w:type="dxa"/>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2021</w:t>
            </w:r>
          </w:p>
        </w:tc>
        <w:tc>
          <w:tcPr>
            <w:tcW w:w="2160" w:type="dxa"/>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2022</w:t>
            </w:r>
          </w:p>
        </w:tc>
        <w:tc>
          <w:tcPr>
            <w:tcW w:w="2160" w:type="dxa"/>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2023</w:t>
            </w:r>
          </w:p>
        </w:tc>
      </w:tr>
      <w:tr w:rsidR="0016590F" w:rsidTr="00D16558">
        <w:trPr>
          <w:cantSplit/>
          <w:jc w:val="center"/>
        </w:trPr>
        <w:tc>
          <w:tcPr>
            <w:tcW w:w="2160" w:type="dxa"/>
            <w:tcBorders>
              <w:top w:val="nil"/>
              <w:left w:val="nil"/>
              <w:bottom w:val="single" w:sz="8" w:space="0" w:color="000000"/>
              <w:right w:val="nil"/>
              <w:tl2br w:val="nil"/>
              <w:tr2bl w:val="nil"/>
            </w:tcBorders>
            <w:shd w:val="clear" w:color="auto" w:fill="FFF2CC" w:themeFill="accent4" w:themeFillTint="33"/>
            <w:tcMar>
              <w:top w:w="60" w:type="dxa"/>
              <w:left w:w="0" w:type="dxa"/>
              <w:bottom w:w="100" w:type="dxa"/>
              <w:right w:w="0" w:type="dxa"/>
            </w:tcMar>
            <w:vAlign w:val="center"/>
          </w:tcPr>
          <w:p w:rsidR="004B110F" w:rsidRDefault="001B78B5" w:rsidP="00460C2C">
            <w:pPr>
              <w:pStyle w:val="AppendixFinancialTableGroupFooter"/>
              <w:keepNext/>
              <w:keepLines/>
              <w:spacing w:after="280"/>
            </w:pPr>
            <w:r>
              <w:t>Total Revenue</w:t>
            </w:r>
          </w:p>
        </w:tc>
        <w:tc>
          <w:tcPr>
            <w:tcW w:w="2160" w:type="dxa"/>
            <w:tcBorders>
              <w:top w:val="nil"/>
              <w:left w:val="nil"/>
              <w:bottom w:val="single" w:sz="8" w:space="0" w:color="000000"/>
              <w:right w:val="nil"/>
              <w:tl2br w:val="nil"/>
              <w:tr2bl w:val="nil"/>
            </w:tcBorders>
            <w:shd w:val="clear" w:color="auto" w:fill="FFF2CC" w:themeFill="accent4" w:themeFillTint="33"/>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€30,606,003</w:t>
            </w:r>
          </w:p>
        </w:tc>
        <w:tc>
          <w:tcPr>
            <w:tcW w:w="2160" w:type="dxa"/>
            <w:tcBorders>
              <w:top w:val="nil"/>
              <w:left w:val="nil"/>
              <w:bottom w:val="single" w:sz="8" w:space="0" w:color="000000"/>
              <w:right w:val="nil"/>
              <w:tl2br w:val="nil"/>
              <w:tr2bl w:val="nil"/>
            </w:tcBorders>
            <w:shd w:val="clear" w:color="auto" w:fill="FFF2CC" w:themeFill="accent4" w:themeFillTint="33"/>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€57,509,905</w:t>
            </w:r>
          </w:p>
        </w:tc>
        <w:tc>
          <w:tcPr>
            <w:tcW w:w="2160" w:type="dxa"/>
            <w:tcBorders>
              <w:top w:val="nil"/>
              <w:left w:val="nil"/>
              <w:bottom w:val="single" w:sz="8" w:space="0" w:color="000000"/>
              <w:right w:val="nil"/>
              <w:tl2br w:val="nil"/>
              <w:tr2bl w:val="nil"/>
            </w:tcBorders>
            <w:shd w:val="clear" w:color="auto" w:fill="FFF2CC" w:themeFill="accent4" w:themeFillTint="33"/>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€103,917,839</w:t>
            </w:r>
          </w:p>
        </w:tc>
        <w:tc>
          <w:tcPr>
            <w:tcW w:w="2160" w:type="dxa"/>
            <w:tcBorders>
              <w:top w:val="nil"/>
              <w:left w:val="nil"/>
              <w:bottom w:val="single" w:sz="8" w:space="0" w:color="000000"/>
              <w:right w:val="nil"/>
              <w:tl2br w:val="nil"/>
              <w:tr2bl w:val="nil"/>
            </w:tcBorders>
            <w:shd w:val="clear" w:color="auto" w:fill="FFF2CC" w:themeFill="accent4" w:themeFillTint="33"/>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€191,702,920</w:t>
            </w:r>
          </w:p>
        </w:tc>
        <w:tc>
          <w:tcPr>
            <w:tcW w:w="2160" w:type="dxa"/>
            <w:tcBorders>
              <w:top w:val="nil"/>
              <w:left w:val="nil"/>
              <w:bottom w:val="single" w:sz="8" w:space="0" w:color="000000"/>
              <w:right w:val="nil"/>
              <w:tl2br w:val="nil"/>
              <w:tr2bl w:val="nil"/>
            </w:tcBorders>
            <w:shd w:val="clear" w:color="auto" w:fill="FFF2CC" w:themeFill="accent4" w:themeFillTint="33"/>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€420,615,717</w:t>
            </w:r>
          </w:p>
        </w:tc>
      </w:tr>
      <w:tr w:rsidR="0016590F">
        <w:trPr>
          <w:cantSplit/>
          <w:trHeight w:hRule="exact" w:val="20"/>
          <w:jc w:val="center"/>
        </w:trPr>
        <w:tc>
          <w:tcPr>
            <w:tcW w:w="21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r>
      <w:tr w:rsidR="0016590F" w:rsidTr="00D16558">
        <w:trPr>
          <w:cantSplit/>
          <w:jc w:val="center"/>
        </w:trPr>
        <w:tc>
          <w:tcPr>
            <w:tcW w:w="2160" w:type="dxa"/>
            <w:tcBorders>
              <w:top w:val="nil"/>
              <w:left w:val="nil"/>
              <w:bottom w:val="single" w:sz="8" w:space="0" w:color="000000"/>
              <w:right w:val="nil"/>
              <w:tl2br w:val="nil"/>
              <w:tr2bl w:val="nil"/>
            </w:tcBorders>
            <w:shd w:val="clear" w:color="auto" w:fill="E2EFD9" w:themeFill="accent6" w:themeFillTint="33"/>
            <w:tcMar>
              <w:top w:w="60" w:type="dxa"/>
              <w:left w:w="0" w:type="dxa"/>
              <w:bottom w:w="100" w:type="dxa"/>
              <w:right w:w="0" w:type="dxa"/>
            </w:tcMar>
            <w:vAlign w:val="center"/>
          </w:tcPr>
          <w:p w:rsidR="004B110F" w:rsidRDefault="001B78B5" w:rsidP="00460C2C">
            <w:pPr>
              <w:pStyle w:val="AppendixFinancialTableGroupFooter"/>
              <w:keepNext/>
              <w:keepLines/>
              <w:spacing w:after="280"/>
            </w:pPr>
            <w:r>
              <w:t>Total Direct Costs</w:t>
            </w:r>
          </w:p>
        </w:tc>
        <w:tc>
          <w:tcPr>
            <w:tcW w:w="2160" w:type="dxa"/>
            <w:tcBorders>
              <w:top w:val="nil"/>
              <w:left w:val="nil"/>
              <w:bottom w:val="single" w:sz="8" w:space="0" w:color="000000"/>
              <w:right w:val="nil"/>
              <w:tl2br w:val="nil"/>
              <w:tr2bl w:val="nil"/>
            </w:tcBorders>
            <w:shd w:val="clear" w:color="auto" w:fill="E2EFD9" w:themeFill="accent6" w:themeFillTint="33"/>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€18,049,904</w:t>
            </w:r>
          </w:p>
        </w:tc>
        <w:tc>
          <w:tcPr>
            <w:tcW w:w="2160" w:type="dxa"/>
            <w:tcBorders>
              <w:top w:val="nil"/>
              <w:left w:val="nil"/>
              <w:bottom w:val="single" w:sz="8" w:space="0" w:color="000000"/>
              <w:right w:val="nil"/>
              <w:tl2br w:val="nil"/>
              <w:tr2bl w:val="nil"/>
            </w:tcBorders>
            <w:shd w:val="clear" w:color="auto" w:fill="E2EFD9" w:themeFill="accent6" w:themeFillTint="33"/>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€26,745,586</w:t>
            </w:r>
          </w:p>
        </w:tc>
        <w:tc>
          <w:tcPr>
            <w:tcW w:w="2160" w:type="dxa"/>
            <w:tcBorders>
              <w:top w:val="nil"/>
              <w:left w:val="nil"/>
              <w:bottom w:val="single" w:sz="8" w:space="0" w:color="000000"/>
              <w:right w:val="nil"/>
              <w:tl2br w:val="nil"/>
              <w:tr2bl w:val="nil"/>
            </w:tcBorders>
            <w:shd w:val="clear" w:color="auto" w:fill="E2EFD9" w:themeFill="accent6" w:themeFillTint="33"/>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€42,106,219</w:t>
            </w:r>
          </w:p>
        </w:tc>
        <w:tc>
          <w:tcPr>
            <w:tcW w:w="2160" w:type="dxa"/>
            <w:tcBorders>
              <w:top w:val="nil"/>
              <w:left w:val="nil"/>
              <w:bottom w:val="single" w:sz="8" w:space="0" w:color="000000"/>
              <w:right w:val="nil"/>
              <w:tl2br w:val="nil"/>
              <w:tr2bl w:val="nil"/>
            </w:tcBorders>
            <w:shd w:val="clear" w:color="auto" w:fill="E2EFD9" w:themeFill="accent6" w:themeFillTint="33"/>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€71,985,501</w:t>
            </w:r>
          </w:p>
        </w:tc>
        <w:tc>
          <w:tcPr>
            <w:tcW w:w="2160" w:type="dxa"/>
            <w:tcBorders>
              <w:top w:val="nil"/>
              <w:left w:val="nil"/>
              <w:bottom w:val="single" w:sz="8" w:space="0" w:color="000000"/>
              <w:right w:val="nil"/>
              <w:tl2br w:val="nil"/>
              <w:tr2bl w:val="nil"/>
            </w:tcBorders>
            <w:shd w:val="clear" w:color="auto" w:fill="E2EFD9" w:themeFill="accent6" w:themeFillTint="33"/>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€149,614,255</w:t>
            </w:r>
          </w:p>
        </w:tc>
      </w:tr>
      <w:tr w:rsidR="0016590F">
        <w:trPr>
          <w:cantSplit/>
          <w:trHeight w:hRule="exact" w:val="20"/>
          <w:jc w:val="center"/>
        </w:trPr>
        <w:tc>
          <w:tcPr>
            <w:tcW w:w="21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r>
      <w:tr w:rsidR="0016590F" w:rsidTr="00861370">
        <w:trPr>
          <w:cantSplit/>
          <w:jc w:val="center"/>
        </w:trPr>
        <w:tc>
          <w:tcPr>
            <w:tcW w:w="2160" w:type="dxa"/>
            <w:tcBorders>
              <w:top w:val="nil"/>
              <w:left w:val="nil"/>
              <w:bottom w:val="nil"/>
              <w:right w:val="nil"/>
              <w:tl2br w:val="nil"/>
              <w:tr2bl w:val="nil"/>
            </w:tcBorders>
            <w:shd w:val="clear" w:color="auto" w:fill="FFF2CC" w:themeFill="accent4" w:themeFillTint="33"/>
            <w:tcMar>
              <w:top w:w="60" w:type="dxa"/>
              <w:left w:w="0" w:type="dxa"/>
              <w:bottom w:w="100" w:type="dxa"/>
              <w:right w:w="0" w:type="dxa"/>
            </w:tcMar>
            <w:vAlign w:val="center"/>
          </w:tcPr>
          <w:p w:rsidR="004B110F" w:rsidRDefault="001B78B5" w:rsidP="00460C2C">
            <w:pPr>
              <w:pStyle w:val="AppendixFinancialTableItem"/>
              <w:keepNext/>
              <w:keepLines/>
              <w:spacing w:after="280"/>
            </w:pPr>
            <w:r>
              <w:t>Gross Margin</w:t>
            </w:r>
          </w:p>
        </w:tc>
        <w:tc>
          <w:tcPr>
            <w:tcW w:w="2160" w:type="dxa"/>
            <w:tcBorders>
              <w:top w:val="nil"/>
              <w:left w:val="nil"/>
              <w:bottom w:val="nil"/>
              <w:right w:val="nil"/>
              <w:tl2br w:val="nil"/>
              <w:tr2bl w:val="nil"/>
            </w:tcBorders>
            <w:shd w:val="clear" w:color="auto" w:fill="FFF2CC" w:themeFill="accent4" w:themeFillTint="33"/>
            <w:noWrap/>
            <w:tcMar>
              <w:top w:w="60" w:type="dxa"/>
              <w:left w:w="0" w:type="dxa"/>
              <w:bottom w:w="100" w:type="dxa"/>
              <w:right w:w="0" w:type="dxa"/>
            </w:tcMar>
            <w:vAlign w:val="center"/>
          </w:tcPr>
          <w:p w:rsidR="004B110F" w:rsidRDefault="001B78B5" w:rsidP="00460C2C">
            <w:pPr>
              <w:pStyle w:val="AppendixFinancialTableItem"/>
              <w:keepNext/>
              <w:keepLines/>
              <w:spacing w:after="280"/>
            </w:pPr>
            <w:r>
              <w:t>€12,556,099</w:t>
            </w:r>
          </w:p>
        </w:tc>
        <w:tc>
          <w:tcPr>
            <w:tcW w:w="2160" w:type="dxa"/>
            <w:tcBorders>
              <w:top w:val="nil"/>
              <w:left w:val="nil"/>
              <w:bottom w:val="nil"/>
              <w:right w:val="nil"/>
              <w:tl2br w:val="nil"/>
              <w:tr2bl w:val="nil"/>
            </w:tcBorders>
            <w:shd w:val="clear" w:color="auto" w:fill="FFF2CC" w:themeFill="accent4" w:themeFillTint="33"/>
            <w:noWrap/>
            <w:tcMar>
              <w:top w:w="60" w:type="dxa"/>
              <w:left w:w="0" w:type="dxa"/>
              <w:bottom w:w="100" w:type="dxa"/>
              <w:right w:w="0" w:type="dxa"/>
            </w:tcMar>
            <w:vAlign w:val="center"/>
          </w:tcPr>
          <w:p w:rsidR="004B110F" w:rsidRDefault="001B78B5" w:rsidP="00460C2C">
            <w:pPr>
              <w:pStyle w:val="AppendixFinancialTableItem"/>
              <w:keepNext/>
              <w:keepLines/>
              <w:spacing w:after="280"/>
            </w:pPr>
            <w:r>
              <w:t>€30,764,320</w:t>
            </w:r>
          </w:p>
        </w:tc>
        <w:tc>
          <w:tcPr>
            <w:tcW w:w="2160" w:type="dxa"/>
            <w:tcBorders>
              <w:top w:val="nil"/>
              <w:left w:val="nil"/>
              <w:bottom w:val="nil"/>
              <w:right w:val="nil"/>
              <w:tl2br w:val="nil"/>
              <w:tr2bl w:val="nil"/>
            </w:tcBorders>
            <w:shd w:val="clear" w:color="auto" w:fill="FFF2CC" w:themeFill="accent4" w:themeFillTint="33"/>
            <w:noWrap/>
            <w:tcMar>
              <w:top w:w="60" w:type="dxa"/>
              <w:left w:w="0" w:type="dxa"/>
              <w:bottom w:w="100" w:type="dxa"/>
              <w:right w:w="0" w:type="dxa"/>
            </w:tcMar>
            <w:vAlign w:val="center"/>
          </w:tcPr>
          <w:p w:rsidR="004B110F" w:rsidRDefault="001B78B5" w:rsidP="00460C2C">
            <w:pPr>
              <w:pStyle w:val="AppendixFinancialTableItem"/>
              <w:keepNext/>
              <w:keepLines/>
              <w:spacing w:after="280"/>
            </w:pPr>
            <w:r>
              <w:t>€61,811,620</w:t>
            </w:r>
          </w:p>
        </w:tc>
        <w:tc>
          <w:tcPr>
            <w:tcW w:w="2160" w:type="dxa"/>
            <w:tcBorders>
              <w:top w:val="nil"/>
              <w:left w:val="nil"/>
              <w:bottom w:val="nil"/>
              <w:right w:val="nil"/>
              <w:tl2br w:val="nil"/>
              <w:tr2bl w:val="nil"/>
            </w:tcBorders>
            <w:shd w:val="clear" w:color="auto" w:fill="FFF2CC" w:themeFill="accent4" w:themeFillTint="33"/>
            <w:noWrap/>
            <w:tcMar>
              <w:top w:w="60" w:type="dxa"/>
              <w:left w:w="0" w:type="dxa"/>
              <w:bottom w:w="100" w:type="dxa"/>
              <w:right w:w="0" w:type="dxa"/>
            </w:tcMar>
            <w:vAlign w:val="center"/>
          </w:tcPr>
          <w:p w:rsidR="004B110F" w:rsidRDefault="001B78B5" w:rsidP="00460C2C">
            <w:pPr>
              <w:pStyle w:val="AppendixFinancialTableItem"/>
              <w:keepNext/>
              <w:keepLines/>
              <w:spacing w:after="280"/>
            </w:pPr>
            <w:r>
              <w:t>€119,717,419</w:t>
            </w:r>
          </w:p>
        </w:tc>
        <w:tc>
          <w:tcPr>
            <w:tcW w:w="2160" w:type="dxa"/>
            <w:tcBorders>
              <w:top w:val="nil"/>
              <w:left w:val="nil"/>
              <w:bottom w:val="nil"/>
              <w:right w:val="nil"/>
              <w:tl2br w:val="nil"/>
              <w:tr2bl w:val="nil"/>
            </w:tcBorders>
            <w:shd w:val="clear" w:color="auto" w:fill="FFF2CC" w:themeFill="accent4" w:themeFillTint="33"/>
            <w:noWrap/>
            <w:tcMar>
              <w:top w:w="60" w:type="dxa"/>
              <w:left w:w="0" w:type="dxa"/>
              <w:bottom w:w="100" w:type="dxa"/>
              <w:right w:w="0" w:type="dxa"/>
            </w:tcMar>
            <w:vAlign w:val="center"/>
          </w:tcPr>
          <w:p w:rsidR="004B110F" w:rsidRDefault="001B78B5" w:rsidP="00460C2C">
            <w:pPr>
              <w:pStyle w:val="AppendixFinancialTableItem"/>
              <w:keepNext/>
              <w:keepLines/>
              <w:spacing w:after="280"/>
            </w:pPr>
            <w:r>
              <w:t>€271,001,461</w:t>
            </w:r>
          </w:p>
        </w:tc>
      </w:tr>
      <w:tr w:rsidR="0016590F" w:rsidTr="00861370">
        <w:trPr>
          <w:cantSplit/>
          <w:jc w:val="center"/>
        </w:trPr>
        <w:tc>
          <w:tcPr>
            <w:tcW w:w="2160" w:type="dxa"/>
            <w:tcBorders>
              <w:top w:val="nil"/>
              <w:left w:val="nil"/>
              <w:bottom w:val="single" w:sz="8" w:space="0" w:color="000000"/>
              <w:right w:val="nil"/>
              <w:tl2br w:val="nil"/>
              <w:tr2bl w:val="nil"/>
            </w:tcBorders>
            <w:shd w:val="clear" w:color="auto" w:fill="E2EFD9" w:themeFill="accent6" w:themeFillTint="33"/>
            <w:tcMar>
              <w:top w:w="60" w:type="dxa"/>
              <w:left w:w="0" w:type="dxa"/>
              <w:bottom w:w="100" w:type="dxa"/>
              <w:right w:w="0" w:type="dxa"/>
            </w:tcMar>
            <w:vAlign w:val="center"/>
          </w:tcPr>
          <w:p w:rsidR="004B110F" w:rsidRDefault="001B78B5" w:rsidP="00460C2C">
            <w:pPr>
              <w:pStyle w:val="AppendixFinancialTableGroupFooter"/>
              <w:keepNext/>
              <w:keepLines/>
              <w:spacing w:after="280"/>
            </w:pPr>
            <w:r>
              <w:t>Gross Margin %</w:t>
            </w:r>
          </w:p>
        </w:tc>
        <w:tc>
          <w:tcPr>
            <w:tcW w:w="2160" w:type="dxa"/>
            <w:tcBorders>
              <w:top w:val="nil"/>
              <w:left w:val="nil"/>
              <w:bottom w:val="single" w:sz="8" w:space="0" w:color="000000"/>
              <w:right w:val="nil"/>
              <w:tl2br w:val="nil"/>
              <w:tr2bl w:val="nil"/>
            </w:tcBorders>
            <w:shd w:val="clear" w:color="auto" w:fill="E2EFD9" w:themeFill="accent6" w:themeFillTint="33"/>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41%</w:t>
            </w:r>
          </w:p>
        </w:tc>
        <w:tc>
          <w:tcPr>
            <w:tcW w:w="2160" w:type="dxa"/>
            <w:tcBorders>
              <w:top w:val="nil"/>
              <w:left w:val="nil"/>
              <w:bottom w:val="single" w:sz="8" w:space="0" w:color="000000"/>
              <w:right w:val="nil"/>
              <w:tl2br w:val="nil"/>
              <w:tr2bl w:val="nil"/>
            </w:tcBorders>
            <w:shd w:val="clear" w:color="auto" w:fill="E2EFD9" w:themeFill="accent6" w:themeFillTint="33"/>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53%</w:t>
            </w:r>
          </w:p>
        </w:tc>
        <w:tc>
          <w:tcPr>
            <w:tcW w:w="2160" w:type="dxa"/>
            <w:tcBorders>
              <w:top w:val="nil"/>
              <w:left w:val="nil"/>
              <w:bottom w:val="single" w:sz="8" w:space="0" w:color="000000"/>
              <w:right w:val="nil"/>
              <w:tl2br w:val="nil"/>
              <w:tr2bl w:val="nil"/>
            </w:tcBorders>
            <w:shd w:val="clear" w:color="auto" w:fill="E2EFD9" w:themeFill="accent6" w:themeFillTint="33"/>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59%</w:t>
            </w:r>
          </w:p>
        </w:tc>
        <w:tc>
          <w:tcPr>
            <w:tcW w:w="2160" w:type="dxa"/>
            <w:tcBorders>
              <w:top w:val="nil"/>
              <w:left w:val="nil"/>
              <w:bottom w:val="single" w:sz="8" w:space="0" w:color="000000"/>
              <w:right w:val="nil"/>
              <w:tl2br w:val="nil"/>
              <w:tr2bl w:val="nil"/>
            </w:tcBorders>
            <w:shd w:val="clear" w:color="auto" w:fill="E2EFD9" w:themeFill="accent6" w:themeFillTint="33"/>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62%</w:t>
            </w:r>
          </w:p>
        </w:tc>
        <w:tc>
          <w:tcPr>
            <w:tcW w:w="2160" w:type="dxa"/>
            <w:tcBorders>
              <w:top w:val="nil"/>
              <w:left w:val="nil"/>
              <w:bottom w:val="single" w:sz="8" w:space="0" w:color="000000"/>
              <w:right w:val="nil"/>
              <w:tl2br w:val="nil"/>
              <w:tr2bl w:val="nil"/>
            </w:tcBorders>
            <w:shd w:val="clear" w:color="auto" w:fill="E2EFD9" w:themeFill="accent6" w:themeFillTint="33"/>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64%</w:t>
            </w:r>
          </w:p>
        </w:tc>
      </w:tr>
      <w:tr w:rsidR="0016590F" w:rsidTr="00861370">
        <w:trPr>
          <w:cantSplit/>
          <w:jc w:val="center"/>
        </w:trPr>
        <w:tc>
          <w:tcPr>
            <w:tcW w:w="2160" w:type="dxa"/>
            <w:tcBorders>
              <w:top w:val="nil"/>
              <w:left w:val="nil"/>
              <w:bottom w:val="nil"/>
              <w:right w:val="nil"/>
              <w:tl2br w:val="nil"/>
              <w:tr2bl w:val="nil"/>
            </w:tcBorders>
            <w:shd w:val="clear" w:color="auto" w:fill="B4C6E7" w:themeFill="accent1" w:themeFillTint="66"/>
            <w:tcMar>
              <w:top w:w="60" w:type="dxa"/>
              <w:left w:w="0" w:type="dxa"/>
              <w:bottom w:w="100" w:type="dxa"/>
              <w:right w:w="0" w:type="dxa"/>
            </w:tcMar>
            <w:vAlign w:val="center"/>
          </w:tcPr>
          <w:p w:rsidR="004B110F" w:rsidRDefault="001B78B5" w:rsidP="00460C2C">
            <w:pPr>
              <w:pStyle w:val="AppendixFinancialTableGroupHeader"/>
              <w:keepNext/>
              <w:keepLines/>
              <w:spacing w:after="280"/>
            </w:pPr>
            <w:r>
              <w:t>Operating Expenses</w:t>
            </w:r>
          </w:p>
        </w:tc>
        <w:tc>
          <w:tcPr>
            <w:tcW w:w="2160" w:type="dxa"/>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2160" w:type="dxa"/>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2160" w:type="dxa"/>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2160" w:type="dxa"/>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2160" w:type="dxa"/>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r>
      <w:tr w:rsidR="0016590F">
        <w:trPr>
          <w:cantSplit/>
          <w:jc w:val="center"/>
        </w:trPr>
        <w:tc>
          <w:tcPr>
            <w:tcW w:w="21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Item"/>
              <w:keepNext/>
              <w:keepLines/>
              <w:spacing w:after="280"/>
            </w:pPr>
            <w:r>
              <w:t>Salaries and Wages</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€1,443,000</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€2,712,000</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€3,997,200</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€6,151,584</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€9,135,618</w:t>
            </w:r>
          </w:p>
        </w:tc>
      </w:tr>
      <w:tr w:rsidR="0016590F" w:rsidTr="00861370">
        <w:trPr>
          <w:cantSplit/>
          <w:jc w:val="center"/>
        </w:trPr>
        <w:tc>
          <w:tcPr>
            <w:tcW w:w="2160" w:type="dxa"/>
            <w:tcBorders>
              <w:top w:val="nil"/>
              <w:left w:val="nil"/>
              <w:bottom w:val="nil"/>
              <w:right w:val="nil"/>
              <w:tl2br w:val="nil"/>
              <w:tr2bl w:val="nil"/>
            </w:tcBorders>
            <w:shd w:val="clear" w:color="auto" w:fill="D0CECE" w:themeFill="background2" w:themeFillShade="E6"/>
            <w:tcMar>
              <w:top w:w="60" w:type="dxa"/>
              <w:left w:w="0" w:type="dxa"/>
              <w:bottom w:w="100" w:type="dxa"/>
              <w:right w:w="0" w:type="dxa"/>
            </w:tcMar>
            <w:vAlign w:val="center"/>
          </w:tcPr>
          <w:p w:rsidR="004B110F" w:rsidRDefault="001B78B5" w:rsidP="00460C2C">
            <w:pPr>
              <w:pStyle w:val="AppendixFinancialTableItem"/>
              <w:keepNext/>
              <w:keepLines/>
              <w:spacing w:after="280"/>
            </w:pPr>
            <w:r>
              <w:t>Employee Related Expenses</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€152,100</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€302,040</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€469,116</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€762,260</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€1,174,894</w:t>
            </w:r>
          </w:p>
        </w:tc>
      </w:tr>
      <w:tr w:rsidR="0016590F">
        <w:trPr>
          <w:cantSplit/>
          <w:jc w:val="center"/>
        </w:trPr>
        <w:tc>
          <w:tcPr>
            <w:tcW w:w="21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Item"/>
              <w:keepNext/>
              <w:keepLines/>
              <w:spacing w:after="280"/>
            </w:pPr>
            <w:r>
              <w:t>OFFICES</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€99,000</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€192,000</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€240,000</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€300,000</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€300,000</w:t>
            </w:r>
          </w:p>
        </w:tc>
      </w:tr>
      <w:tr w:rsidR="0016590F" w:rsidTr="00861370">
        <w:trPr>
          <w:cantSplit/>
          <w:jc w:val="center"/>
        </w:trPr>
        <w:tc>
          <w:tcPr>
            <w:tcW w:w="2160" w:type="dxa"/>
            <w:tcBorders>
              <w:top w:val="nil"/>
              <w:left w:val="nil"/>
              <w:bottom w:val="nil"/>
              <w:right w:val="nil"/>
              <w:tl2br w:val="nil"/>
              <w:tr2bl w:val="nil"/>
            </w:tcBorders>
            <w:shd w:val="clear" w:color="auto" w:fill="D0CECE" w:themeFill="background2" w:themeFillShade="E6"/>
            <w:tcMar>
              <w:top w:w="60" w:type="dxa"/>
              <w:left w:w="0" w:type="dxa"/>
              <w:bottom w:w="100" w:type="dxa"/>
              <w:right w:w="0" w:type="dxa"/>
            </w:tcMar>
            <w:vAlign w:val="center"/>
          </w:tcPr>
          <w:p w:rsidR="004B110F" w:rsidRDefault="001B78B5" w:rsidP="00460C2C">
            <w:pPr>
              <w:pStyle w:val="AppendixFinancialTableItem"/>
              <w:keepNext/>
              <w:keepLines/>
              <w:spacing w:after="280"/>
            </w:pPr>
            <w:r>
              <w:t>Bills</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€31,400</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€48,000</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€54,000</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€60,000</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€72,000</w:t>
            </w:r>
          </w:p>
        </w:tc>
      </w:tr>
      <w:tr w:rsidR="0016590F">
        <w:trPr>
          <w:cantSplit/>
          <w:jc w:val="center"/>
        </w:trPr>
        <w:tc>
          <w:tcPr>
            <w:tcW w:w="21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Item"/>
              <w:keepNext/>
              <w:keepLines/>
              <w:spacing w:after="280"/>
            </w:pPr>
            <w:r>
              <w:t>WEB Servers</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€57,000</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€96,000</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€144,000</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€192,000</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€240,000</w:t>
            </w:r>
          </w:p>
        </w:tc>
      </w:tr>
      <w:tr w:rsidR="0016590F" w:rsidTr="00861370">
        <w:trPr>
          <w:cantSplit/>
          <w:jc w:val="center"/>
        </w:trPr>
        <w:tc>
          <w:tcPr>
            <w:tcW w:w="2160" w:type="dxa"/>
            <w:tcBorders>
              <w:top w:val="nil"/>
              <w:left w:val="nil"/>
              <w:bottom w:val="nil"/>
              <w:right w:val="nil"/>
              <w:tl2br w:val="nil"/>
              <w:tr2bl w:val="nil"/>
            </w:tcBorders>
            <w:shd w:val="clear" w:color="auto" w:fill="D0CECE" w:themeFill="background2" w:themeFillShade="E6"/>
            <w:tcMar>
              <w:top w:w="60" w:type="dxa"/>
              <w:left w:w="0" w:type="dxa"/>
              <w:bottom w:w="100" w:type="dxa"/>
              <w:right w:w="0" w:type="dxa"/>
            </w:tcMar>
            <w:vAlign w:val="center"/>
          </w:tcPr>
          <w:p w:rsidR="004B110F" w:rsidRDefault="001B78B5" w:rsidP="00460C2C">
            <w:pPr>
              <w:pStyle w:val="AppendixFinancialTableItem"/>
              <w:keepNext/>
              <w:keepLines/>
              <w:spacing w:after="280"/>
            </w:pPr>
            <w:r>
              <w:t>Accountancy and KYC and AML</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€54,000</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€100,000</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€140,000</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€160,000</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€200,000</w:t>
            </w:r>
          </w:p>
        </w:tc>
      </w:tr>
      <w:tr w:rsidR="0016590F">
        <w:trPr>
          <w:cantSplit/>
          <w:jc w:val="center"/>
        </w:trPr>
        <w:tc>
          <w:tcPr>
            <w:tcW w:w="21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Item"/>
              <w:keepNext/>
              <w:keepLines/>
              <w:spacing w:after="280"/>
            </w:pPr>
            <w:r>
              <w:t>Transfers and General exp.</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€52,000</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€108,000</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€144,000</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€160,000</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€180,000</w:t>
            </w:r>
          </w:p>
        </w:tc>
      </w:tr>
      <w:tr w:rsidR="0016590F" w:rsidTr="00861370">
        <w:trPr>
          <w:cantSplit/>
          <w:jc w:val="center"/>
        </w:trPr>
        <w:tc>
          <w:tcPr>
            <w:tcW w:w="2160" w:type="dxa"/>
            <w:tcBorders>
              <w:top w:val="nil"/>
              <w:left w:val="nil"/>
              <w:bottom w:val="nil"/>
              <w:right w:val="nil"/>
              <w:tl2br w:val="nil"/>
              <w:tr2bl w:val="nil"/>
            </w:tcBorders>
            <w:shd w:val="clear" w:color="auto" w:fill="D0CECE" w:themeFill="background2" w:themeFillShade="E6"/>
            <w:tcMar>
              <w:top w:w="60" w:type="dxa"/>
              <w:left w:w="0" w:type="dxa"/>
              <w:bottom w:w="100" w:type="dxa"/>
              <w:right w:w="0" w:type="dxa"/>
            </w:tcMar>
            <w:vAlign w:val="center"/>
          </w:tcPr>
          <w:p w:rsidR="004B110F" w:rsidRDefault="001B78B5" w:rsidP="00460C2C">
            <w:pPr>
              <w:pStyle w:val="AppendixFinancialTableItem"/>
              <w:keepNext/>
              <w:keepLines/>
              <w:spacing w:after="280"/>
            </w:pPr>
            <w:r>
              <w:t>Cars and Fringes</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€39,200</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€48,000</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€60,000</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€80,000</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€100,000</w:t>
            </w:r>
          </w:p>
        </w:tc>
      </w:tr>
      <w:tr w:rsidR="0016590F">
        <w:trPr>
          <w:cantSplit/>
          <w:jc w:val="center"/>
        </w:trPr>
        <w:tc>
          <w:tcPr>
            <w:tcW w:w="21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Item"/>
              <w:keepNext/>
              <w:keepLines/>
              <w:spacing w:after="280"/>
            </w:pPr>
            <w:r>
              <w:t>MARKETING</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€1,600,000</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€4,400,000</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€7,700,000</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€12,500,000</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€19,500,000</w:t>
            </w:r>
          </w:p>
        </w:tc>
      </w:tr>
      <w:tr w:rsidR="0016590F" w:rsidTr="00861370">
        <w:trPr>
          <w:cantSplit/>
          <w:jc w:val="center"/>
        </w:trPr>
        <w:tc>
          <w:tcPr>
            <w:tcW w:w="2160" w:type="dxa"/>
            <w:tcBorders>
              <w:top w:val="nil"/>
              <w:left w:val="nil"/>
              <w:bottom w:val="nil"/>
              <w:right w:val="nil"/>
              <w:tl2br w:val="nil"/>
              <w:tr2bl w:val="nil"/>
            </w:tcBorders>
            <w:shd w:val="clear" w:color="auto" w:fill="D0CECE" w:themeFill="background2" w:themeFillShade="E6"/>
            <w:tcMar>
              <w:top w:w="60" w:type="dxa"/>
              <w:left w:w="0" w:type="dxa"/>
              <w:bottom w:w="100" w:type="dxa"/>
              <w:right w:w="0" w:type="dxa"/>
            </w:tcMar>
            <w:vAlign w:val="center"/>
          </w:tcPr>
          <w:p w:rsidR="004B110F" w:rsidRDefault="001B78B5" w:rsidP="00460C2C">
            <w:pPr>
              <w:pStyle w:val="AppendixFinancialTableItem"/>
              <w:keepNext/>
              <w:keepLines/>
              <w:spacing w:after="280"/>
            </w:pPr>
            <w:r>
              <w:t>Customer Service and Activation</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€1,200,000</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€2,400,000</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€4,000,000</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€8,000,000</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€12,000,000</w:t>
            </w:r>
          </w:p>
        </w:tc>
      </w:tr>
      <w:tr w:rsidR="0016590F" w:rsidTr="00861370">
        <w:trPr>
          <w:cantSplit/>
          <w:jc w:val="center"/>
        </w:trPr>
        <w:tc>
          <w:tcPr>
            <w:tcW w:w="2160" w:type="dxa"/>
            <w:tcBorders>
              <w:top w:val="nil"/>
              <w:left w:val="nil"/>
              <w:bottom w:val="single" w:sz="8" w:space="0" w:color="000000"/>
              <w:right w:val="nil"/>
              <w:tl2br w:val="nil"/>
              <w:tr2bl w:val="nil"/>
            </w:tcBorders>
            <w:shd w:val="clear" w:color="auto" w:fill="FFD966" w:themeFill="accent4" w:themeFillTint="99"/>
            <w:tcMar>
              <w:top w:w="60" w:type="dxa"/>
              <w:left w:w="0" w:type="dxa"/>
              <w:bottom w:w="100" w:type="dxa"/>
              <w:right w:w="0" w:type="dxa"/>
            </w:tcMar>
            <w:vAlign w:val="center"/>
          </w:tcPr>
          <w:p w:rsidR="004B110F" w:rsidRDefault="001B78B5" w:rsidP="00460C2C">
            <w:pPr>
              <w:pStyle w:val="AppendixFinancialTableGroupFooter"/>
              <w:keepNext/>
              <w:keepLines/>
              <w:spacing w:after="280"/>
            </w:pPr>
            <w:r>
              <w:t>Total Operating Expenses</w:t>
            </w:r>
          </w:p>
        </w:tc>
        <w:tc>
          <w:tcPr>
            <w:tcW w:w="2160" w:type="dxa"/>
            <w:tcBorders>
              <w:top w:val="nil"/>
              <w:left w:val="nil"/>
              <w:bottom w:val="single" w:sz="8" w:space="0" w:color="000000"/>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€4,727,700</w:t>
            </w:r>
          </w:p>
        </w:tc>
        <w:tc>
          <w:tcPr>
            <w:tcW w:w="2160" w:type="dxa"/>
            <w:tcBorders>
              <w:top w:val="nil"/>
              <w:left w:val="nil"/>
              <w:bottom w:val="single" w:sz="8" w:space="0" w:color="000000"/>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€10,406,040</w:t>
            </w:r>
          </w:p>
        </w:tc>
        <w:tc>
          <w:tcPr>
            <w:tcW w:w="2160" w:type="dxa"/>
            <w:tcBorders>
              <w:top w:val="nil"/>
              <w:left w:val="nil"/>
              <w:bottom w:val="single" w:sz="8" w:space="0" w:color="000000"/>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€16,948,316</w:t>
            </w:r>
          </w:p>
        </w:tc>
        <w:tc>
          <w:tcPr>
            <w:tcW w:w="2160" w:type="dxa"/>
            <w:tcBorders>
              <w:top w:val="nil"/>
              <w:left w:val="nil"/>
              <w:bottom w:val="single" w:sz="8" w:space="0" w:color="000000"/>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€28,365,844</w:t>
            </w:r>
          </w:p>
        </w:tc>
        <w:tc>
          <w:tcPr>
            <w:tcW w:w="2160" w:type="dxa"/>
            <w:tcBorders>
              <w:top w:val="nil"/>
              <w:left w:val="nil"/>
              <w:bottom w:val="single" w:sz="8" w:space="0" w:color="000000"/>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€42,902,512</w:t>
            </w:r>
          </w:p>
        </w:tc>
      </w:tr>
      <w:tr w:rsidR="0016590F">
        <w:trPr>
          <w:cantSplit/>
          <w:trHeight w:hRule="exact" w:val="20"/>
          <w:jc w:val="center"/>
        </w:trPr>
        <w:tc>
          <w:tcPr>
            <w:tcW w:w="21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r>
      <w:tr w:rsidR="0016590F" w:rsidTr="00861370">
        <w:trPr>
          <w:cantSplit/>
          <w:jc w:val="center"/>
        </w:trPr>
        <w:tc>
          <w:tcPr>
            <w:tcW w:w="2160" w:type="dxa"/>
            <w:tcBorders>
              <w:top w:val="nil"/>
              <w:left w:val="nil"/>
              <w:bottom w:val="single" w:sz="8" w:space="0" w:color="000000"/>
              <w:right w:val="nil"/>
              <w:tl2br w:val="nil"/>
              <w:tr2bl w:val="nil"/>
            </w:tcBorders>
            <w:shd w:val="clear" w:color="auto" w:fill="A8D08D" w:themeFill="accent6" w:themeFillTint="99"/>
            <w:tcMar>
              <w:top w:w="60" w:type="dxa"/>
              <w:left w:w="0" w:type="dxa"/>
              <w:bottom w:w="100" w:type="dxa"/>
              <w:right w:w="0" w:type="dxa"/>
            </w:tcMar>
            <w:vAlign w:val="center"/>
          </w:tcPr>
          <w:p w:rsidR="004B110F" w:rsidRDefault="001B78B5" w:rsidP="00460C2C">
            <w:pPr>
              <w:pStyle w:val="AppendixFinancialTableGroupFooter"/>
              <w:keepNext/>
              <w:keepLines/>
              <w:spacing w:after="280"/>
            </w:pPr>
            <w:r>
              <w:t>Operating Income</w:t>
            </w:r>
          </w:p>
        </w:tc>
        <w:tc>
          <w:tcPr>
            <w:tcW w:w="2160" w:type="dxa"/>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€7,828,399</w:t>
            </w:r>
          </w:p>
        </w:tc>
        <w:tc>
          <w:tcPr>
            <w:tcW w:w="2160" w:type="dxa"/>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€20,358,279</w:t>
            </w:r>
          </w:p>
        </w:tc>
        <w:tc>
          <w:tcPr>
            <w:tcW w:w="2160" w:type="dxa"/>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€44,863,304</w:t>
            </w:r>
          </w:p>
        </w:tc>
        <w:tc>
          <w:tcPr>
            <w:tcW w:w="2160" w:type="dxa"/>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€91,351,575</w:t>
            </w:r>
          </w:p>
        </w:tc>
        <w:tc>
          <w:tcPr>
            <w:tcW w:w="2160" w:type="dxa"/>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€228,098,949</w:t>
            </w:r>
          </w:p>
        </w:tc>
      </w:tr>
      <w:tr w:rsidR="0016590F">
        <w:trPr>
          <w:cantSplit/>
          <w:trHeight w:hRule="exact" w:val="20"/>
          <w:jc w:val="center"/>
        </w:trPr>
        <w:tc>
          <w:tcPr>
            <w:tcW w:w="21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r>
      <w:tr w:rsidR="0016590F" w:rsidTr="00861370">
        <w:trPr>
          <w:cantSplit/>
          <w:jc w:val="center"/>
        </w:trPr>
        <w:tc>
          <w:tcPr>
            <w:tcW w:w="2160" w:type="dxa"/>
            <w:tcBorders>
              <w:top w:val="nil"/>
              <w:left w:val="nil"/>
              <w:bottom w:val="nil"/>
              <w:right w:val="nil"/>
              <w:tl2br w:val="nil"/>
              <w:tr2bl w:val="nil"/>
            </w:tcBorders>
            <w:shd w:val="clear" w:color="auto" w:fill="B4C6E7" w:themeFill="accent1" w:themeFillTint="66"/>
            <w:tcMar>
              <w:top w:w="60" w:type="dxa"/>
              <w:left w:w="0" w:type="dxa"/>
              <w:bottom w:w="100" w:type="dxa"/>
              <w:right w:w="0" w:type="dxa"/>
            </w:tcMar>
            <w:vAlign w:val="center"/>
          </w:tcPr>
          <w:p w:rsidR="004B110F" w:rsidRPr="00107133" w:rsidRDefault="001B78B5" w:rsidP="00460C2C">
            <w:pPr>
              <w:pStyle w:val="AppendixFinancialTableItem"/>
              <w:keepNext/>
              <w:keepLines/>
              <w:spacing w:after="280"/>
              <w:rPr>
                <w:b/>
              </w:rPr>
            </w:pPr>
            <w:r w:rsidRPr="00107133">
              <w:rPr>
                <w:b/>
                <w:sz w:val="14"/>
              </w:rPr>
              <w:t>Interest Incurred</w:t>
            </w:r>
          </w:p>
        </w:tc>
        <w:tc>
          <w:tcPr>
            <w:tcW w:w="2160" w:type="dxa"/>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2160" w:type="dxa"/>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2160" w:type="dxa"/>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2160" w:type="dxa"/>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2160" w:type="dxa"/>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r>
      <w:tr w:rsidR="0016590F">
        <w:trPr>
          <w:cantSplit/>
          <w:jc w:val="center"/>
        </w:trPr>
        <w:tc>
          <w:tcPr>
            <w:tcW w:w="21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Item"/>
              <w:keepNext/>
              <w:keepLines/>
              <w:spacing w:after="280"/>
            </w:pPr>
            <w:r>
              <w:t>Depreciation and Amortization</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€504,651</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€545,873</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€618,161</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€676,579</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€750,849</w:t>
            </w:r>
          </w:p>
        </w:tc>
      </w:tr>
      <w:tr w:rsidR="0016590F" w:rsidTr="00861370">
        <w:trPr>
          <w:cantSplit/>
          <w:jc w:val="center"/>
        </w:trPr>
        <w:tc>
          <w:tcPr>
            <w:tcW w:w="2160" w:type="dxa"/>
            <w:tcBorders>
              <w:top w:val="nil"/>
              <w:left w:val="nil"/>
              <w:bottom w:val="nil"/>
              <w:right w:val="nil"/>
              <w:tl2br w:val="nil"/>
              <w:tr2bl w:val="nil"/>
            </w:tcBorders>
            <w:shd w:val="clear" w:color="auto" w:fill="D0CECE" w:themeFill="background2" w:themeFillShade="E6"/>
            <w:tcMar>
              <w:top w:w="60" w:type="dxa"/>
              <w:left w:w="0" w:type="dxa"/>
              <w:bottom w:w="100" w:type="dxa"/>
              <w:right w:w="0" w:type="dxa"/>
            </w:tcMar>
            <w:vAlign w:val="center"/>
          </w:tcPr>
          <w:p w:rsidR="004B110F" w:rsidRDefault="001B78B5" w:rsidP="00460C2C">
            <w:pPr>
              <w:pStyle w:val="AppendixFinancialTableItem"/>
              <w:keepNext/>
              <w:keepLines/>
              <w:spacing w:after="280"/>
            </w:pPr>
            <w:r>
              <w:t>Income Taxes</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€2,563,312</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€6,934,342</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€15,485,800</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€31,736,249</w:t>
            </w:r>
          </w:p>
        </w:tc>
        <w:tc>
          <w:tcPr>
            <w:tcW w:w="2160" w:type="dxa"/>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€79,571,835</w:t>
            </w:r>
          </w:p>
        </w:tc>
      </w:tr>
      <w:tr w:rsidR="0016590F" w:rsidTr="00861370">
        <w:trPr>
          <w:cantSplit/>
          <w:jc w:val="center"/>
        </w:trPr>
        <w:tc>
          <w:tcPr>
            <w:tcW w:w="2160" w:type="dxa"/>
            <w:tcBorders>
              <w:top w:val="nil"/>
              <w:left w:val="nil"/>
              <w:bottom w:val="nil"/>
              <w:right w:val="nil"/>
              <w:tl2br w:val="nil"/>
              <w:tr2bl w:val="nil"/>
            </w:tcBorders>
            <w:shd w:val="clear" w:color="auto" w:fill="FFE599" w:themeFill="accent4" w:themeFillTint="66"/>
            <w:tcMar>
              <w:top w:w="60" w:type="dxa"/>
              <w:left w:w="0" w:type="dxa"/>
              <w:bottom w:w="100" w:type="dxa"/>
              <w:right w:w="0" w:type="dxa"/>
            </w:tcMar>
            <w:vAlign w:val="center"/>
          </w:tcPr>
          <w:p w:rsidR="004B110F" w:rsidRDefault="001B78B5" w:rsidP="00460C2C">
            <w:pPr>
              <w:pStyle w:val="AppendixFinancialTableGroupHeader"/>
              <w:keepNext/>
              <w:keepLines/>
              <w:spacing w:after="280"/>
            </w:pPr>
            <w:r>
              <w:t>Total Expenses</w:t>
            </w:r>
          </w:p>
        </w:tc>
        <w:tc>
          <w:tcPr>
            <w:tcW w:w="2160" w:type="dxa"/>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€25,845,567</w:t>
            </w:r>
          </w:p>
        </w:tc>
        <w:tc>
          <w:tcPr>
            <w:tcW w:w="2160" w:type="dxa"/>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€44,631,841</w:t>
            </w:r>
          </w:p>
        </w:tc>
        <w:tc>
          <w:tcPr>
            <w:tcW w:w="2160" w:type="dxa"/>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€75,158,495</w:t>
            </w:r>
          </w:p>
        </w:tc>
        <w:tc>
          <w:tcPr>
            <w:tcW w:w="2160" w:type="dxa"/>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€132,764,174</w:t>
            </w:r>
          </w:p>
        </w:tc>
        <w:tc>
          <w:tcPr>
            <w:tcW w:w="2160" w:type="dxa"/>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€272,839,452</w:t>
            </w:r>
          </w:p>
        </w:tc>
      </w:tr>
      <w:tr w:rsidR="0016590F">
        <w:trPr>
          <w:cantSplit/>
          <w:jc w:val="center"/>
        </w:trPr>
        <w:tc>
          <w:tcPr>
            <w:tcW w:w="2160"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GroupHeader"/>
              <w:keepNext/>
              <w:keepLines/>
              <w:spacing w:after="280"/>
            </w:pPr>
            <w:r>
              <w:t>Net Profit</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€4,760,436</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€12,878,064</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€28,759,344</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€58,938,746</w:t>
            </w:r>
          </w:p>
        </w:tc>
        <w:tc>
          <w:tcPr>
            <w:tcW w:w="2160"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€147,776,265</w:t>
            </w:r>
          </w:p>
        </w:tc>
      </w:tr>
      <w:tr w:rsidR="0016590F" w:rsidTr="00861370">
        <w:trPr>
          <w:cantSplit/>
          <w:jc w:val="center"/>
        </w:trPr>
        <w:tc>
          <w:tcPr>
            <w:tcW w:w="2160" w:type="dxa"/>
            <w:tcBorders>
              <w:top w:val="nil"/>
              <w:left w:val="nil"/>
              <w:bottom w:val="single" w:sz="8" w:space="0" w:color="000000"/>
              <w:right w:val="nil"/>
              <w:tl2br w:val="nil"/>
              <w:tr2bl w:val="nil"/>
            </w:tcBorders>
            <w:shd w:val="clear" w:color="auto" w:fill="BDD6EE" w:themeFill="accent5" w:themeFillTint="66"/>
            <w:tcMar>
              <w:top w:w="60" w:type="dxa"/>
              <w:left w:w="0" w:type="dxa"/>
              <w:bottom w:w="100" w:type="dxa"/>
              <w:right w:w="0" w:type="dxa"/>
            </w:tcMar>
            <w:vAlign w:val="center"/>
          </w:tcPr>
          <w:p w:rsidR="004B110F" w:rsidRDefault="001B78B5" w:rsidP="00460C2C">
            <w:pPr>
              <w:pStyle w:val="AppendixFinancialTableGroupFooter"/>
              <w:keepNext/>
              <w:keepLines/>
              <w:spacing w:after="280"/>
            </w:pPr>
            <w:r>
              <w:t>Net Profit / Sales</w:t>
            </w:r>
          </w:p>
        </w:tc>
        <w:tc>
          <w:tcPr>
            <w:tcW w:w="2160" w:type="dxa"/>
            <w:tcBorders>
              <w:top w:val="nil"/>
              <w:left w:val="nil"/>
              <w:bottom w:val="single" w:sz="8" w:space="0" w:color="000000"/>
              <w:right w:val="nil"/>
              <w:tl2br w:val="nil"/>
              <w:tr2bl w:val="nil"/>
            </w:tcBorders>
            <w:shd w:val="clear" w:color="auto" w:fill="BDD6EE" w:themeFill="accent5" w:themeFillTint="66"/>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16%</w:t>
            </w:r>
          </w:p>
        </w:tc>
        <w:tc>
          <w:tcPr>
            <w:tcW w:w="2160" w:type="dxa"/>
            <w:tcBorders>
              <w:top w:val="nil"/>
              <w:left w:val="nil"/>
              <w:bottom w:val="single" w:sz="8" w:space="0" w:color="000000"/>
              <w:right w:val="nil"/>
              <w:tl2br w:val="nil"/>
              <w:tr2bl w:val="nil"/>
            </w:tcBorders>
            <w:shd w:val="clear" w:color="auto" w:fill="BDD6EE" w:themeFill="accent5" w:themeFillTint="66"/>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22%</w:t>
            </w:r>
          </w:p>
        </w:tc>
        <w:tc>
          <w:tcPr>
            <w:tcW w:w="2160" w:type="dxa"/>
            <w:tcBorders>
              <w:top w:val="nil"/>
              <w:left w:val="nil"/>
              <w:bottom w:val="single" w:sz="8" w:space="0" w:color="000000"/>
              <w:right w:val="nil"/>
              <w:tl2br w:val="nil"/>
              <w:tr2bl w:val="nil"/>
            </w:tcBorders>
            <w:shd w:val="clear" w:color="auto" w:fill="BDD6EE" w:themeFill="accent5" w:themeFillTint="66"/>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28%</w:t>
            </w:r>
          </w:p>
        </w:tc>
        <w:tc>
          <w:tcPr>
            <w:tcW w:w="2160" w:type="dxa"/>
            <w:tcBorders>
              <w:top w:val="nil"/>
              <w:left w:val="nil"/>
              <w:bottom w:val="single" w:sz="8" w:space="0" w:color="000000"/>
              <w:right w:val="nil"/>
              <w:tl2br w:val="nil"/>
              <w:tr2bl w:val="nil"/>
            </w:tcBorders>
            <w:shd w:val="clear" w:color="auto" w:fill="BDD6EE" w:themeFill="accent5" w:themeFillTint="66"/>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31%</w:t>
            </w:r>
          </w:p>
        </w:tc>
        <w:tc>
          <w:tcPr>
            <w:tcW w:w="2160" w:type="dxa"/>
            <w:tcBorders>
              <w:top w:val="nil"/>
              <w:left w:val="nil"/>
              <w:bottom w:val="single" w:sz="8" w:space="0" w:color="000000"/>
              <w:right w:val="nil"/>
              <w:tl2br w:val="nil"/>
              <w:tr2bl w:val="nil"/>
            </w:tcBorders>
            <w:shd w:val="clear" w:color="auto" w:fill="BDD6EE" w:themeFill="accent5" w:themeFillTint="66"/>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35%</w:t>
            </w:r>
          </w:p>
        </w:tc>
      </w:tr>
    </w:tbl>
    <w:p w:rsidR="004B110F" w:rsidRPr="003C15AA" w:rsidRDefault="001B78B5" w:rsidP="00460C2C">
      <w:pPr>
        <w:pStyle w:val="Titolo2"/>
        <w:rPr>
          <w:rFonts w:ascii="Franklin Gothic Demi" w:eastAsia="Times New Roman" w:hAnsi="Franklin Gothic Demi" w:cs="Times New Roman"/>
          <w:b w:val="0"/>
          <w:bCs w:val="0"/>
          <w:iCs w:val="0"/>
          <w:color w:val="002060"/>
          <w:spacing w:val="26"/>
          <w:szCs w:val="36"/>
        </w:rPr>
      </w:pPr>
      <w:bookmarkStart w:id="102" w:name="_Toc523440009"/>
      <w:r w:rsidRPr="003C15AA">
        <w:rPr>
          <w:rFonts w:ascii="Franklin Gothic Demi" w:eastAsia="Times New Roman" w:hAnsi="Franklin Gothic Demi" w:cs="Times New Roman"/>
          <w:b w:val="0"/>
          <w:bCs w:val="0"/>
          <w:iCs w:val="0"/>
          <w:color w:val="002060"/>
          <w:spacing w:val="26"/>
          <w:szCs w:val="36"/>
        </w:rPr>
        <w:t>Balance Sheet (With Monthly Detail)</w:t>
      </w:r>
      <w:bookmarkEnd w:id="102"/>
    </w:p>
    <w:tbl>
      <w:tblPr>
        <w:tblW w:w="0" w:type="auto"/>
        <w:jc w:val="center"/>
        <w:tblLook w:val="04A0" w:firstRow="1" w:lastRow="0" w:firstColumn="1" w:lastColumn="0" w:noHBand="0" w:noVBand="1"/>
      </w:tblPr>
      <w:tblGrid>
        <w:gridCol w:w="1566"/>
        <w:gridCol w:w="462"/>
        <w:gridCol w:w="462"/>
        <w:gridCol w:w="924"/>
        <w:gridCol w:w="924"/>
        <w:gridCol w:w="462"/>
        <w:gridCol w:w="462"/>
        <w:gridCol w:w="924"/>
        <w:gridCol w:w="462"/>
        <w:gridCol w:w="462"/>
        <w:gridCol w:w="924"/>
        <w:gridCol w:w="462"/>
        <w:gridCol w:w="462"/>
        <w:gridCol w:w="924"/>
        <w:gridCol w:w="462"/>
        <w:gridCol w:w="462"/>
        <w:gridCol w:w="924"/>
        <w:gridCol w:w="462"/>
        <w:gridCol w:w="462"/>
      </w:tblGrid>
      <w:tr w:rsidR="0016590F" w:rsidTr="00D8640C">
        <w:trPr>
          <w:cantSplit/>
          <w:trHeight w:val="201"/>
          <w:jc w:val="center"/>
        </w:trPr>
        <w:tc>
          <w:tcPr>
            <w:tcW w:w="0" w:type="auto"/>
            <w:tcBorders>
              <w:top w:val="nil"/>
              <w:left w:val="nil"/>
              <w:bottom w:val="single" w:sz="8" w:space="0" w:color="000000"/>
              <w:right w:val="nil"/>
              <w:tl2br w:val="nil"/>
              <w:tr2bl w:val="nil"/>
            </w:tcBorders>
            <w:shd w:val="clear" w:color="auto" w:fill="018BB3"/>
            <w:tcMar>
              <w:top w:w="60" w:type="dxa"/>
              <w:left w:w="0" w:type="dxa"/>
              <w:bottom w:w="100" w:type="dxa"/>
              <w:right w:w="0" w:type="dxa"/>
            </w:tcMar>
            <w:vAlign w:val="center"/>
          </w:tcPr>
          <w:p w:rsidR="004B110F" w:rsidRDefault="001B78B5" w:rsidP="00460C2C">
            <w:pPr>
              <w:pStyle w:val="AppendixFinancialTableHeader"/>
              <w:keepNext/>
              <w:keepLines/>
              <w:spacing w:after="280"/>
            </w:pPr>
            <w:r>
              <w:lastRenderedPageBreak/>
              <w:t>2019</w:t>
            </w:r>
          </w:p>
        </w:tc>
        <w:tc>
          <w:tcPr>
            <w:tcW w:w="0" w:type="auto"/>
            <w:gridSpan w:val="2"/>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Jan '19</w:t>
            </w:r>
          </w:p>
        </w:tc>
        <w:tc>
          <w:tcPr>
            <w:tcW w:w="0" w:type="auto"/>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Feb '19</w:t>
            </w:r>
          </w:p>
        </w:tc>
        <w:tc>
          <w:tcPr>
            <w:tcW w:w="0" w:type="auto"/>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Mar '19</w:t>
            </w:r>
          </w:p>
        </w:tc>
        <w:tc>
          <w:tcPr>
            <w:tcW w:w="0" w:type="auto"/>
            <w:gridSpan w:val="2"/>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Apr '19</w:t>
            </w:r>
          </w:p>
        </w:tc>
        <w:tc>
          <w:tcPr>
            <w:tcW w:w="0" w:type="auto"/>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May '19</w:t>
            </w:r>
          </w:p>
        </w:tc>
        <w:tc>
          <w:tcPr>
            <w:tcW w:w="0" w:type="auto"/>
            <w:gridSpan w:val="2"/>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June '19</w:t>
            </w:r>
          </w:p>
        </w:tc>
        <w:tc>
          <w:tcPr>
            <w:tcW w:w="0" w:type="auto"/>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July '19</w:t>
            </w:r>
          </w:p>
        </w:tc>
        <w:tc>
          <w:tcPr>
            <w:tcW w:w="0" w:type="auto"/>
            <w:gridSpan w:val="2"/>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Aug '19</w:t>
            </w:r>
          </w:p>
        </w:tc>
        <w:tc>
          <w:tcPr>
            <w:tcW w:w="0" w:type="auto"/>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Sept '19</w:t>
            </w:r>
          </w:p>
        </w:tc>
        <w:tc>
          <w:tcPr>
            <w:tcW w:w="0" w:type="auto"/>
            <w:gridSpan w:val="2"/>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Oct '19</w:t>
            </w:r>
          </w:p>
        </w:tc>
        <w:tc>
          <w:tcPr>
            <w:tcW w:w="0" w:type="auto"/>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Nov '19</w:t>
            </w:r>
          </w:p>
        </w:tc>
        <w:tc>
          <w:tcPr>
            <w:tcW w:w="0" w:type="auto"/>
            <w:gridSpan w:val="2"/>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Dec '19</w:t>
            </w:r>
          </w:p>
        </w:tc>
      </w:tr>
      <w:tr w:rsidR="0016590F" w:rsidTr="00D8640C">
        <w:trPr>
          <w:cantSplit/>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Item"/>
              <w:keepNext/>
              <w:keepLines/>
              <w:spacing w:after="280"/>
            </w:pPr>
            <w:r>
              <w:t>Cash</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€94,090,422</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€94,748,813</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€95,448,863</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€95,702,360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€96,513,269</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€97,331,534</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€97,601,317</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€98,512,750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€99,396,387</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€99,790,265</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€100,877,122</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€102,047,199</w:t>
            </w:r>
          </w:p>
        </w:tc>
      </w:tr>
      <w:tr w:rsidR="0016590F" w:rsidTr="00D8640C">
        <w:trPr>
          <w:cantSplit/>
          <w:jc w:val="center"/>
        </w:trPr>
        <w:tc>
          <w:tcPr>
            <w:tcW w:w="0" w:type="auto"/>
            <w:tcBorders>
              <w:top w:val="nil"/>
              <w:left w:val="nil"/>
              <w:bottom w:val="nil"/>
              <w:right w:val="nil"/>
              <w:tl2br w:val="nil"/>
              <w:tr2bl w:val="nil"/>
            </w:tcBorders>
            <w:shd w:val="clear" w:color="auto" w:fill="D0CECE" w:themeFill="background2" w:themeFillShade="E6"/>
            <w:tcMar>
              <w:top w:w="60" w:type="dxa"/>
              <w:left w:w="0" w:type="dxa"/>
              <w:bottom w:w="100" w:type="dxa"/>
              <w:right w:w="0" w:type="dxa"/>
            </w:tcMar>
            <w:vAlign w:val="center"/>
          </w:tcPr>
          <w:p w:rsidR="004B110F" w:rsidRDefault="001B78B5" w:rsidP="00460C2C">
            <w:pPr>
              <w:pStyle w:val="AppendixFinancialTableItem"/>
              <w:keepNext/>
              <w:keepLines/>
              <w:spacing w:after="280"/>
            </w:pPr>
            <w:r>
              <w:t>Accounts Receivable</w:t>
            </w:r>
          </w:p>
        </w:tc>
        <w:tc>
          <w:tcPr>
            <w:tcW w:w="0" w:type="auto"/>
            <w:gridSpan w:val="2"/>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gridSpan w:val="2"/>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gridSpan w:val="2"/>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gridSpan w:val="2"/>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gridSpan w:val="2"/>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gridSpan w:val="2"/>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r>
      <w:tr w:rsidR="0016590F" w:rsidTr="00D8640C">
        <w:trPr>
          <w:cantSplit/>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Item"/>
              <w:keepNext/>
              <w:keepLines/>
              <w:spacing w:after="280"/>
            </w:pPr>
            <w:r>
              <w:t>Inventory</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r>
      <w:tr w:rsidR="0016590F" w:rsidTr="00D8640C">
        <w:trPr>
          <w:cantSplit/>
          <w:jc w:val="center"/>
        </w:trPr>
        <w:tc>
          <w:tcPr>
            <w:tcW w:w="0" w:type="auto"/>
            <w:tcBorders>
              <w:top w:val="nil"/>
              <w:left w:val="nil"/>
              <w:bottom w:val="nil"/>
              <w:right w:val="nil"/>
              <w:tl2br w:val="nil"/>
              <w:tr2bl w:val="nil"/>
            </w:tcBorders>
            <w:shd w:val="clear" w:color="auto" w:fill="D0CECE" w:themeFill="background2" w:themeFillShade="E6"/>
            <w:tcMar>
              <w:top w:w="60" w:type="dxa"/>
              <w:left w:w="0" w:type="dxa"/>
              <w:bottom w:w="100" w:type="dxa"/>
              <w:right w:w="0" w:type="dxa"/>
            </w:tcMar>
            <w:vAlign w:val="center"/>
          </w:tcPr>
          <w:p w:rsidR="004B110F" w:rsidRDefault="001B78B5" w:rsidP="00460C2C">
            <w:pPr>
              <w:pStyle w:val="AppendixFinancialTableItem"/>
              <w:keepNext/>
              <w:keepLines/>
              <w:spacing w:after="280"/>
            </w:pPr>
            <w:r>
              <w:t>Other Current Assets</w:t>
            </w:r>
          </w:p>
        </w:tc>
        <w:tc>
          <w:tcPr>
            <w:tcW w:w="0" w:type="auto"/>
            <w:gridSpan w:val="2"/>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r>
      <w:tr w:rsidR="0016590F" w:rsidTr="00D8640C">
        <w:trPr>
          <w:cantSplit/>
          <w:jc w:val="center"/>
        </w:trPr>
        <w:tc>
          <w:tcPr>
            <w:tcW w:w="0" w:type="auto"/>
            <w:tcBorders>
              <w:top w:val="nil"/>
              <w:left w:val="nil"/>
              <w:bottom w:val="nil"/>
              <w:right w:val="nil"/>
              <w:tl2br w:val="nil"/>
              <w:tr2bl w:val="nil"/>
            </w:tcBorders>
            <w:shd w:val="clear" w:color="auto" w:fill="FFD966" w:themeFill="accent4" w:themeFillTint="99"/>
            <w:tcMar>
              <w:top w:w="60" w:type="dxa"/>
              <w:left w:w="0" w:type="dxa"/>
              <w:bottom w:w="100" w:type="dxa"/>
              <w:right w:w="0" w:type="dxa"/>
            </w:tcMar>
            <w:vAlign w:val="center"/>
          </w:tcPr>
          <w:p w:rsidR="004B110F" w:rsidRDefault="001B78B5" w:rsidP="00460C2C">
            <w:pPr>
              <w:pStyle w:val="AppendixFinancialTableGroupHeader"/>
              <w:keepNext/>
              <w:keepLines/>
              <w:spacing w:after="280"/>
            </w:pPr>
            <w:r>
              <w:t>Total Current Assets</w:t>
            </w:r>
          </w:p>
        </w:tc>
        <w:tc>
          <w:tcPr>
            <w:tcW w:w="0" w:type="auto"/>
            <w:gridSpan w:val="2"/>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€94,090,422</w:t>
            </w:r>
          </w:p>
        </w:tc>
        <w:tc>
          <w:tcPr>
            <w:tcW w:w="0" w:type="auto"/>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€94,748,813</w:t>
            </w:r>
          </w:p>
        </w:tc>
        <w:tc>
          <w:tcPr>
            <w:tcW w:w="0" w:type="auto"/>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€95,448,863</w:t>
            </w:r>
          </w:p>
        </w:tc>
        <w:tc>
          <w:tcPr>
            <w:tcW w:w="0" w:type="auto"/>
            <w:gridSpan w:val="2"/>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€95,702,360</w:t>
            </w:r>
          </w:p>
        </w:tc>
        <w:tc>
          <w:tcPr>
            <w:tcW w:w="0" w:type="auto"/>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€96,513,269</w:t>
            </w:r>
          </w:p>
        </w:tc>
        <w:tc>
          <w:tcPr>
            <w:tcW w:w="0" w:type="auto"/>
            <w:gridSpan w:val="2"/>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€97,331,534</w:t>
            </w:r>
          </w:p>
        </w:tc>
        <w:tc>
          <w:tcPr>
            <w:tcW w:w="0" w:type="auto"/>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€97,601,317</w:t>
            </w:r>
          </w:p>
        </w:tc>
        <w:tc>
          <w:tcPr>
            <w:tcW w:w="0" w:type="auto"/>
            <w:gridSpan w:val="2"/>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€98,512,750</w:t>
            </w:r>
          </w:p>
        </w:tc>
        <w:tc>
          <w:tcPr>
            <w:tcW w:w="0" w:type="auto"/>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€99,396,387</w:t>
            </w:r>
          </w:p>
        </w:tc>
        <w:tc>
          <w:tcPr>
            <w:tcW w:w="0" w:type="auto"/>
            <w:gridSpan w:val="2"/>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€99,790,265</w:t>
            </w:r>
          </w:p>
        </w:tc>
        <w:tc>
          <w:tcPr>
            <w:tcW w:w="0" w:type="auto"/>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€100,877,122</w:t>
            </w:r>
          </w:p>
        </w:tc>
        <w:tc>
          <w:tcPr>
            <w:tcW w:w="0" w:type="auto"/>
            <w:gridSpan w:val="2"/>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€102,047,199</w:t>
            </w:r>
          </w:p>
        </w:tc>
      </w:tr>
      <w:tr w:rsidR="0016590F" w:rsidTr="00D8640C">
        <w:trPr>
          <w:cantSplit/>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Item"/>
              <w:keepNext/>
              <w:keepLines/>
              <w:spacing w:after="280"/>
            </w:pPr>
            <w:r>
              <w:t>Long-Term Assets</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€6,480,000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€6,480,000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€6,485,000</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€6,488,000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€6,491,000</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€6,491,000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€6,497,000</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€6,497,000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€6,500,000</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€6,503,000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€6,506,000</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€6,506,000</w:t>
            </w:r>
          </w:p>
        </w:tc>
      </w:tr>
      <w:tr w:rsidR="0016590F" w:rsidTr="00D8640C">
        <w:trPr>
          <w:cantSplit/>
          <w:jc w:val="center"/>
        </w:trPr>
        <w:tc>
          <w:tcPr>
            <w:tcW w:w="0" w:type="auto"/>
            <w:tcBorders>
              <w:top w:val="nil"/>
              <w:left w:val="nil"/>
              <w:bottom w:val="nil"/>
              <w:right w:val="nil"/>
              <w:tl2br w:val="nil"/>
              <w:tr2bl w:val="nil"/>
            </w:tcBorders>
            <w:shd w:val="clear" w:color="auto" w:fill="ACB9CA" w:themeFill="text2" w:themeFillTint="66"/>
            <w:tcMar>
              <w:top w:w="60" w:type="dxa"/>
              <w:left w:w="0" w:type="dxa"/>
              <w:bottom w:w="100" w:type="dxa"/>
              <w:right w:w="0" w:type="dxa"/>
            </w:tcMar>
            <w:vAlign w:val="center"/>
          </w:tcPr>
          <w:p w:rsidR="004B110F" w:rsidRDefault="001B78B5" w:rsidP="00460C2C">
            <w:pPr>
              <w:pStyle w:val="AppendixFinancialTableItem"/>
              <w:keepNext/>
              <w:keepLines/>
              <w:spacing w:after="280"/>
            </w:pPr>
            <w:r>
              <w:t>Accumulated Depreciation</w:t>
            </w:r>
          </w:p>
        </w:tc>
        <w:tc>
          <w:tcPr>
            <w:tcW w:w="0" w:type="auto"/>
            <w:gridSpan w:val="2"/>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(€41,746)</w:t>
            </w:r>
          </w:p>
        </w:tc>
        <w:tc>
          <w:tcPr>
            <w:tcW w:w="0" w:type="auto"/>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(€83,492)</w:t>
            </w:r>
          </w:p>
        </w:tc>
        <w:tc>
          <w:tcPr>
            <w:tcW w:w="0" w:type="auto"/>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(€125,377)</w:t>
            </w:r>
          </w:p>
        </w:tc>
        <w:tc>
          <w:tcPr>
            <w:tcW w:w="0" w:type="auto"/>
            <w:gridSpan w:val="2"/>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(€167,298)</w:t>
            </w:r>
          </w:p>
        </w:tc>
        <w:tc>
          <w:tcPr>
            <w:tcW w:w="0" w:type="auto"/>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(€209,302)</w:t>
            </w:r>
          </w:p>
        </w:tc>
        <w:tc>
          <w:tcPr>
            <w:tcW w:w="0" w:type="auto"/>
            <w:gridSpan w:val="2"/>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(€251,306)</w:t>
            </w:r>
          </w:p>
        </w:tc>
        <w:tc>
          <w:tcPr>
            <w:tcW w:w="0" w:type="auto"/>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(€293,429)</w:t>
            </w:r>
          </w:p>
        </w:tc>
        <w:tc>
          <w:tcPr>
            <w:tcW w:w="0" w:type="auto"/>
            <w:gridSpan w:val="2"/>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(€335,552)</w:t>
            </w:r>
          </w:p>
        </w:tc>
        <w:tc>
          <w:tcPr>
            <w:tcW w:w="0" w:type="auto"/>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(€377,758)</w:t>
            </w:r>
          </w:p>
        </w:tc>
        <w:tc>
          <w:tcPr>
            <w:tcW w:w="0" w:type="auto"/>
            <w:gridSpan w:val="2"/>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(€420,000)</w:t>
            </w:r>
          </w:p>
        </w:tc>
        <w:tc>
          <w:tcPr>
            <w:tcW w:w="0" w:type="auto"/>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(€462,325)</w:t>
            </w:r>
          </w:p>
        </w:tc>
        <w:tc>
          <w:tcPr>
            <w:tcW w:w="0" w:type="auto"/>
            <w:gridSpan w:val="2"/>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(€504,651)</w:t>
            </w:r>
          </w:p>
        </w:tc>
      </w:tr>
      <w:tr w:rsidR="0016590F" w:rsidTr="00D8640C">
        <w:trPr>
          <w:cantSplit/>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GroupHeader"/>
              <w:keepNext/>
              <w:keepLines/>
              <w:spacing w:after="280"/>
            </w:pPr>
            <w:r>
              <w:t>Total Long-Term Assets</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€6,438,254</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€6,396,508</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€6,359,623</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€6,320,702</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€6,281,698</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€6,239,694</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€6,203,571</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€6,161,448</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€6,122,242</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€6,083,000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€6,043,675</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€6,001,349</w:t>
            </w:r>
          </w:p>
        </w:tc>
      </w:tr>
      <w:tr w:rsidR="0016590F" w:rsidTr="00D8640C">
        <w:trPr>
          <w:cantSplit/>
          <w:jc w:val="center"/>
        </w:trPr>
        <w:tc>
          <w:tcPr>
            <w:tcW w:w="0" w:type="auto"/>
            <w:tcBorders>
              <w:top w:val="nil"/>
              <w:left w:val="nil"/>
              <w:bottom w:val="single" w:sz="8" w:space="0" w:color="000000"/>
              <w:right w:val="nil"/>
              <w:tl2br w:val="nil"/>
              <w:tr2bl w:val="nil"/>
            </w:tcBorders>
            <w:shd w:val="clear" w:color="auto" w:fill="A8D08D" w:themeFill="accent6" w:themeFillTint="99"/>
            <w:tcMar>
              <w:top w:w="60" w:type="dxa"/>
              <w:left w:w="0" w:type="dxa"/>
              <w:bottom w:w="100" w:type="dxa"/>
              <w:right w:w="0" w:type="dxa"/>
            </w:tcMar>
            <w:vAlign w:val="center"/>
          </w:tcPr>
          <w:p w:rsidR="004B110F" w:rsidRDefault="001B78B5" w:rsidP="00460C2C">
            <w:pPr>
              <w:pStyle w:val="AppendixFinancialTableGroupFooter"/>
              <w:keepNext/>
              <w:keepLines/>
              <w:spacing w:after="280"/>
            </w:pPr>
            <w:r>
              <w:t>Total Assets</w:t>
            </w:r>
          </w:p>
        </w:tc>
        <w:tc>
          <w:tcPr>
            <w:tcW w:w="0" w:type="auto"/>
            <w:gridSpan w:val="2"/>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€100,528,676</w:t>
            </w:r>
          </w:p>
        </w:tc>
        <w:tc>
          <w:tcPr>
            <w:tcW w:w="0" w:type="auto"/>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€101,145,320</w:t>
            </w:r>
          </w:p>
        </w:tc>
        <w:tc>
          <w:tcPr>
            <w:tcW w:w="0" w:type="auto"/>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€101,808,486</w:t>
            </w:r>
          </w:p>
        </w:tc>
        <w:tc>
          <w:tcPr>
            <w:tcW w:w="0" w:type="auto"/>
            <w:gridSpan w:val="2"/>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€102,023,062</w:t>
            </w:r>
          </w:p>
        </w:tc>
        <w:tc>
          <w:tcPr>
            <w:tcW w:w="0" w:type="auto"/>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€102,794,967</w:t>
            </w:r>
          </w:p>
        </w:tc>
        <w:tc>
          <w:tcPr>
            <w:tcW w:w="0" w:type="auto"/>
            <w:gridSpan w:val="2"/>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€103,571,229</w:t>
            </w:r>
          </w:p>
        </w:tc>
        <w:tc>
          <w:tcPr>
            <w:tcW w:w="0" w:type="auto"/>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€103,804,888</w:t>
            </w:r>
          </w:p>
        </w:tc>
        <w:tc>
          <w:tcPr>
            <w:tcW w:w="0" w:type="auto"/>
            <w:gridSpan w:val="2"/>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€104,674,199</w:t>
            </w:r>
          </w:p>
        </w:tc>
        <w:tc>
          <w:tcPr>
            <w:tcW w:w="0" w:type="auto"/>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€105,518,629</w:t>
            </w:r>
          </w:p>
        </w:tc>
        <w:tc>
          <w:tcPr>
            <w:tcW w:w="0" w:type="auto"/>
            <w:gridSpan w:val="2"/>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€105,873,265</w:t>
            </w:r>
          </w:p>
        </w:tc>
        <w:tc>
          <w:tcPr>
            <w:tcW w:w="0" w:type="auto"/>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€106,920,796</w:t>
            </w:r>
          </w:p>
        </w:tc>
        <w:tc>
          <w:tcPr>
            <w:tcW w:w="0" w:type="auto"/>
            <w:gridSpan w:val="2"/>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€108,048,548</w:t>
            </w:r>
          </w:p>
        </w:tc>
      </w:tr>
      <w:tr w:rsidR="0016590F" w:rsidTr="00D8640C">
        <w:trPr>
          <w:cantSplit/>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Item"/>
              <w:keepNext/>
              <w:keepLines/>
              <w:spacing w:after="280"/>
            </w:pPr>
            <w:r>
              <w:t>Accounts Payable</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r>
      <w:tr w:rsidR="0016590F" w:rsidTr="00D8640C">
        <w:trPr>
          <w:cantSplit/>
          <w:jc w:val="center"/>
        </w:trPr>
        <w:tc>
          <w:tcPr>
            <w:tcW w:w="0" w:type="auto"/>
            <w:tcBorders>
              <w:top w:val="nil"/>
              <w:left w:val="nil"/>
              <w:bottom w:val="nil"/>
              <w:right w:val="nil"/>
              <w:tl2br w:val="nil"/>
              <w:tr2bl w:val="nil"/>
            </w:tcBorders>
            <w:shd w:val="clear" w:color="auto" w:fill="D0CECE" w:themeFill="background2" w:themeFillShade="E6"/>
            <w:tcMar>
              <w:top w:w="60" w:type="dxa"/>
              <w:left w:w="0" w:type="dxa"/>
              <w:bottom w:w="100" w:type="dxa"/>
              <w:right w:w="0" w:type="dxa"/>
            </w:tcMar>
            <w:vAlign w:val="center"/>
          </w:tcPr>
          <w:p w:rsidR="004B110F" w:rsidRDefault="001B78B5" w:rsidP="00460C2C">
            <w:pPr>
              <w:pStyle w:val="AppendixFinancialTableItem"/>
              <w:keepNext/>
              <w:keepLines/>
              <w:spacing w:after="280"/>
            </w:pPr>
            <w:r>
              <w:t>Income Taxes Payable</w:t>
            </w:r>
          </w:p>
        </w:tc>
        <w:tc>
          <w:tcPr>
            <w:tcW w:w="0" w:type="auto"/>
            <w:gridSpan w:val="2"/>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€129,615</w:t>
            </w: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€285,988</w:t>
            </w: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€455,562</w:t>
            </w:r>
          </w:p>
        </w:tc>
        <w:tc>
          <w:tcPr>
            <w:tcW w:w="0" w:type="auto"/>
            <w:gridSpan w:val="2"/>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€642,458</w:t>
            </w: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€843,932</w:t>
            </w:r>
          </w:p>
        </w:tc>
        <w:tc>
          <w:tcPr>
            <w:tcW w:w="0" w:type="auto"/>
            <w:gridSpan w:val="2"/>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€1,046,650</w:t>
            </w: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€1,259,658</w:t>
            </w:r>
          </w:p>
        </w:tc>
        <w:tc>
          <w:tcPr>
            <w:tcW w:w="0" w:type="auto"/>
            <w:gridSpan w:val="2"/>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€1,488,783</w:t>
            </w: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€1,708,920</w:t>
            </w:r>
          </w:p>
        </w:tc>
        <w:tc>
          <w:tcPr>
            <w:tcW w:w="0" w:type="auto"/>
            <w:gridSpan w:val="2"/>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€1,974,350</w:t>
            </w: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€2,256,612</w:t>
            </w:r>
          </w:p>
        </w:tc>
        <w:tc>
          <w:tcPr>
            <w:tcW w:w="0" w:type="auto"/>
            <w:gridSpan w:val="2"/>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1B78B5" w:rsidP="00460C2C">
            <w:pPr>
              <w:pStyle w:val="AppendixFinancialTableItem"/>
              <w:keepNext/>
              <w:keepLines/>
              <w:spacing w:after="280"/>
            </w:pPr>
            <w:r>
              <w:t>€2,563,312</w:t>
            </w:r>
          </w:p>
        </w:tc>
      </w:tr>
      <w:tr w:rsidR="0016590F" w:rsidTr="00D8640C">
        <w:trPr>
          <w:cantSplit/>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Item"/>
              <w:keepNext/>
              <w:keepLines/>
              <w:spacing w:after="280"/>
            </w:pPr>
            <w:r>
              <w:t>Sales Taxes Payable</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€158,347</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€328,213</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€506,880</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€187,467</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€383,733</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€580,800</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€205,866</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€420,533</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€636,000</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€232,266</w:t>
            </w: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€473,333</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€724,800</w:t>
            </w:r>
          </w:p>
        </w:tc>
      </w:tr>
      <w:tr w:rsidR="0016590F" w:rsidTr="00D8640C">
        <w:trPr>
          <w:cantSplit/>
          <w:jc w:val="center"/>
        </w:trPr>
        <w:tc>
          <w:tcPr>
            <w:tcW w:w="0" w:type="auto"/>
            <w:tcBorders>
              <w:top w:val="nil"/>
              <w:left w:val="nil"/>
              <w:bottom w:val="nil"/>
              <w:right w:val="nil"/>
              <w:tl2br w:val="nil"/>
              <w:tr2bl w:val="nil"/>
            </w:tcBorders>
            <w:shd w:val="clear" w:color="auto" w:fill="D0CECE" w:themeFill="background2" w:themeFillShade="E6"/>
            <w:tcMar>
              <w:top w:w="60" w:type="dxa"/>
              <w:left w:w="0" w:type="dxa"/>
              <w:bottom w:w="100" w:type="dxa"/>
              <w:right w:w="0" w:type="dxa"/>
            </w:tcMar>
            <w:vAlign w:val="center"/>
          </w:tcPr>
          <w:p w:rsidR="004B110F" w:rsidRDefault="001B78B5" w:rsidP="00460C2C">
            <w:pPr>
              <w:pStyle w:val="AppendixFinancialTableItem"/>
              <w:keepNext/>
              <w:keepLines/>
              <w:spacing w:after="280"/>
            </w:pPr>
            <w:r>
              <w:t>Short-Term Debt</w:t>
            </w:r>
          </w:p>
        </w:tc>
        <w:tc>
          <w:tcPr>
            <w:tcW w:w="0" w:type="auto"/>
            <w:gridSpan w:val="2"/>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D0CECE" w:themeFill="background2" w:themeFillShade="E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r>
      <w:tr w:rsidR="0016590F" w:rsidTr="00D8640C">
        <w:trPr>
          <w:cantSplit/>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Item"/>
              <w:keepNext/>
              <w:keepLines/>
              <w:spacing w:after="280"/>
            </w:pPr>
            <w:r>
              <w:t>Prepaid Revenue</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r>
      <w:tr w:rsidR="0016590F" w:rsidTr="00D8640C">
        <w:trPr>
          <w:cantSplit/>
          <w:trHeight w:val="144"/>
          <w:jc w:val="center"/>
        </w:trPr>
        <w:tc>
          <w:tcPr>
            <w:tcW w:w="0" w:type="auto"/>
            <w:tcBorders>
              <w:top w:val="nil"/>
              <w:left w:val="nil"/>
              <w:bottom w:val="nil"/>
              <w:right w:val="nil"/>
              <w:tl2br w:val="nil"/>
              <w:tr2bl w:val="nil"/>
            </w:tcBorders>
            <w:shd w:val="clear" w:color="auto" w:fill="FFD966" w:themeFill="accent4" w:themeFillTint="99"/>
            <w:tcMar>
              <w:top w:w="60" w:type="dxa"/>
              <w:left w:w="0" w:type="dxa"/>
              <w:bottom w:w="100" w:type="dxa"/>
              <w:right w:w="0" w:type="dxa"/>
            </w:tcMar>
            <w:vAlign w:val="center"/>
          </w:tcPr>
          <w:p w:rsidR="004B110F" w:rsidRDefault="001B78B5" w:rsidP="00460C2C">
            <w:pPr>
              <w:pStyle w:val="AppendixFinancialTableGroupHeader"/>
              <w:keepNext/>
              <w:keepLines/>
              <w:spacing w:after="280" w:line="240" w:lineRule="auto"/>
            </w:pPr>
            <w:r>
              <w:t>Total Current Liabilities</w:t>
            </w:r>
          </w:p>
        </w:tc>
        <w:tc>
          <w:tcPr>
            <w:tcW w:w="0" w:type="auto"/>
            <w:gridSpan w:val="2"/>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Header"/>
              <w:keepNext/>
              <w:keepLines/>
              <w:spacing w:after="280" w:line="240" w:lineRule="auto"/>
            </w:pPr>
            <w:r>
              <w:t>€287,962</w:t>
            </w:r>
          </w:p>
        </w:tc>
        <w:tc>
          <w:tcPr>
            <w:tcW w:w="0" w:type="auto"/>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Header"/>
              <w:keepNext/>
              <w:keepLines/>
              <w:spacing w:after="280" w:line="240" w:lineRule="auto"/>
            </w:pPr>
            <w:r>
              <w:t>€614,201</w:t>
            </w:r>
          </w:p>
        </w:tc>
        <w:tc>
          <w:tcPr>
            <w:tcW w:w="0" w:type="auto"/>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Header"/>
              <w:keepNext/>
              <w:keepLines/>
              <w:spacing w:after="280" w:line="240" w:lineRule="auto"/>
            </w:pPr>
            <w:r>
              <w:t>€962,442</w:t>
            </w:r>
          </w:p>
        </w:tc>
        <w:tc>
          <w:tcPr>
            <w:tcW w:w="0" w:type="auto"/>
            <w:gridSpan w:val="2"/>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Header"/>
              <w:keepNext/>
              <w:keepLines/>
              <w:spacing w:after="280" w:line="240" w:lineRule="auto"/>
            </w:pPr>
            <w:r>
              <w:t>€829,925</w:t>
            </w:r>
          </w:p>
        </w:tc>
        <w:tc>
          <w:tcPr>
            <w:tcW w:w="0" w:type="auto"/>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Header"/>
              <w:keepNext/>
              <w:keepLines/>
              <w:spacing w:after="280" w:line="240" w:lineRule="auto"/>
            </w:pPr>
            <w:r>
              <w:t>€1,227,665</w:t>
            </w:r>
          </w:p>
        </w:tc>
        <w:tc>
          <w:tcPr>
            <w:tcW w:w="0" w:type="auto"/>
            <w:gridSpan w:val="2"/>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Header"/>
              <w:keepNext/>
              <w:keepLines/>
              <w:spacing w:after="280" w:line="240" w:lineRule="auto"/>
            </w:pPr>
            <w:r>
              <w:t>€1,627,450</w:t>
            </w:r>
          </w:p>
        </w:tc>
        <w:tc>
          <w:tcPr>
            <w:tcW w:w="0" w:type="auto"/>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Header"/>
              <w:keepNext/>
              <w:keepLines/>
              <w:spacing w:after="280" w:line="240" w:lineRule="auto"/>
            </w:pPr>
            <w:r>
              <w:t>€1,465,524</w:t>
            </w:r>
          </w:p>
        </w:tc>
        <w:tc>
          <w:tcPr>
            <w:tcW w:w="0" w:type="auto"/>
            <w:gridSpan w:val="2"/>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Header"/>
              <w:keepNext/>
              <w:keepLines/>
              <w:spacing w:after="280" w:line="240" w:lineRule="auto"/>
            </w:pPr>
            <w:r>
              <w:t>€1,909,316</w:t>
            </w:r>
          </w:p>
        </w:tc>
        <w:tc>
          <w:tcPr>
            <w:tcW w:w="0" w:type="auto"/>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Header"/>
              <w:keepNext/>
              <w:keepLines/>
              <w:spacing w:after="280" w:line="240" w:lineRule="auto"/>
            </w:pPr>
            <w:r>
              <w:t>€2,344,920</w:t>
            </w:r>
          </w:p>
        </w:tc>
        <w:tc>
          <w:tcPr>
            <w:tcW w:w="0" w:type="auto"/>
            <w:gridSpan w:val="2"/>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Header"/>
              <w:keepNext/>
              <w:keepLines/>
              <w:spacing w:after="280" w:line="240" w:lineRule="auto"/>
            </w:pPr>
            <w:r>
              <w:t>€2,206,616</w:t>
            </w:r>
          </w:p>
        </w:tc>
        <w:tc>
          <w:tcPr>
            <w:tcW w:w="0" w:type="auto"/>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Header"/>
              <w:keepNext/>
              <w:keepLines/>
              <w:spacing w:after="280" w:line="240" w:lineRule="auto"/>
            </w:pPr>
            <w:r>
              <w:t>€2,729,945</w:t>
            </w:r>
          </w:p>
        </w:tc>
        <w:tc>
          <w:tcPr>
            <w:tcW w:w="0" w:type="auto"/>
            <w:gridSpan w:val="2"/>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Header"/>
              <w:keepNext/>
              <w:keepLines/>
              <w:spacing w:after="280" w:line="240" w:lineRule="auto"/>
            </w:pPr>
            <w:r>
              <w:t>€3,288,112</w:t>
            </w:r>
          </w:p>
        </w:tc>
      </w:tr>
      <w:tr w:rsidR="0016590F" w:rsidTr="00D8640C">
        <w:trPr>
          <w:cantSplit/>
          <w:trHeight w:val="144"/>
          <w:jc w:val="center"/>
        </w:trPr>
        <w:tc>
          <w:tcPr>
            <w:tcW w:w="0" w:type="auto"/>
            <w:tcBorders>
              <w:top w:val="nil"/>
              <w:left w:val="nil"/>
              <w:bottom w:val="nil"/>
              <w:right w:val="nil"/>
              <w:tl2br w:val="nil"/>
              <w:tr2bl w:val="nil"/>
            </w:tcBorders>
            <w:shd w:val="clear" w:color="auto" w:fill="auto"/>
            <w:tcMar>
              <w:top w:w="60" w:type="dxa"/>
              <w:left w:w="0" w:type="dxa"/>
              <w:bottom w:w="100" w:type="dxa"/>
              <w:right w:w="0" w:type="dxa"/>
            </w:tcMar>
            <w:vAlign w:val="bottom"/>
          </w:tcPr>
          <w:p w:rsidR="004B110F" w:rsidRDefault="001B78B5" w:rsidP="00460C2C">
            <w:pPr>
              <w:pStyle w:val="AppendixFinancialTableItem"/>
              <w:keepNext/>
              <w:keepLines/>
              <w:spacing w:after="280"/>
            </w:pPr>
            <w:r>
              <w:t>Long-Term Debt</w:t>
            </w: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bottom"/>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bottom"/>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bottom"/>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bottom"/>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bottom"/>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bottom"/>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bottom"/>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bottom"/>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bottom"/>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bottom"/>
          </w:tcPr>
          <w:p w:rsidR="004B110F" w:rsidRDefault="004B110F" w:rsidP="00460C2C">
            <w:pPr>
              <w:pStyle w:val="AppendixFinancialTableItem"/>
              <w:keepNext/>
              <w:keepLines/>
              <w:spacing w:after="280"/>
            </w:pPr>
          </w:p>
        </w:tc>
        <w:tc>
          <w:tcPr>
            <w:tcW w:w="0" w:type="auto"/>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r>
      <w:tr w:rsidR="0016590F" w:rsidTr="00D8640C">
        <w:trPr>
          <w:cantSplit/>
          <w:trHeight w:val="165"/>
          <w:jc w:val="center"/>
        </w:trPr>
        <w:tc>
          <w:tcPr>
            <w:tcW w:w="0" w:type="auto"/>
            <w:tcBorders>
              <w:top w:val="nil"/>
              <w:left w:val="nil"/>
              <w:bottom w:val="single" w:sz="8" w:space="0" w:color="000000"/>
              <w:right w:val="nil"/>
              <w:tl2br w:val="nil"/>
              <w:tr2bl w:val="nil"/>
            </w:tcBorders>
            <w:shd w:val="clear" w:color="auto" w:fill="A8D08D" w:themeFill="accent6" w:themeFillTint="99"/>
            <w:tcMar>
              <w:top w:w="60" w:type="dxa"/>
              <w:left w:w="0" w:type="dxa"/>
              <w:bottom w:w="100" w:type="dxa"/>
              <w:right w:w="0" w:type="dxa"/>
            </w:tcMar>
            <w:vAlign w:val="center"/>
          </w:tcPr>
          <w:p w:rsidR="004B110F" w:rsidRDefault="001B78B5" w:rsidP="00460C2C">
            <w:pPr>
              <w:pStyle w:val="AppendixFinancialTableGroupFooter"/>
              <w:keepNext/>
              <w:keepLines/>
              <w:spacing w:after="280"/>
            </w:pPr>
            <w:r>
              <w:t>Total Liabilities</w:t>
            </w:r>
          </w:p>
        </w:tc>
        <w:tc>
          <w:tcPr>
            <w:tcW w:w="0" w:type="auto"/>
            <w:gridSpan w:val="2"/>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€287,962</w:t>
            </w:r>
          </w:p>
        </w:tc>
        <w:tc>
          <w:tcPr>
            <w:tcW w:w="0" w:type="auto"/>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€614,201</w:t>
            </w:r>
          </w:p>
        </w:tc>
        <w:tc>
          <w:tcPr>
            <w:tcW w:w="0" w:type="auto"/>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€962,442</w:t>
            </w:r>
          </w:p>
        </w:tc>
        <w:tc>
          <w:tcPr>
            <w:tcW w:w="0" w:type="auto"/>
            <w:gridSpan w:val="2"/>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€829,925</w:t>
            </w:r>
          </w:p>
        </w:tc>
        <w:tc>
          <w:tcPr>
            <w:tcW w:w="0" w:type="auto"/>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€1,227,665</w:t>
            </w:r>
          </w:p>
        </w:tc>
        <w:tc>
          <w:tcPr>
            <w:tcW w:w="0" w:type="auto"/>
            <w:gridSpan w:val="2"/>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€1,627,450</w:t>
            </w:r>
          </w:p>
        </w:tc>
        <w:tc>
          <w:tcPr>
            <w:tcW w:w="0" w:type="auto"/>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€1,465,524</w:t>
            </w:r>
          </w:p>
        </w:tc>
        <w:tc>
          <w:tcPr>
            <w:tcW w:w="0" w:type="auto"/>
            <w:gridSpan w:val="2"/>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€1,909,316</w:t>
            </w:r>
          </w:p>
        </w:tc>
        <w:tc>
          <w:tcPr>
            <w:tcW w:w="0" w:type="auto"/>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€2,344,920</w:t>
            </w:r>
          </w:p>
        </w:tc>
        <w:tc>
          <w:tcPr>
            <w:tcW w:w="0" w:type="auto"/>
            <w:gridSpan w:val="2"/>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€2,206,616</w:t>
            </w:r>
          </w:p>
        </w:tc>
        <w:tc>
          <w:tcPr>
            <w:tcW w:w="0" w:type="auto"/>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€2,729,945</w:t>
            </w:r>
          </w:p>
        </w:tc>
        <w:tc>
          <w:tcPr>
            <w:tcW w:w="0" w:type="auto"/>
            <w:gridSpan w:val="2"/>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€3,288,112</w:t>
            </w:r>
          </w:p>
        </w:tc>
      </w:tr>
      <w:tr w:rsidR="0016590F" w:rsidTr="00D8640C">
        <w:trPr>
          <w:cantSplit/>
          <w:jc w:val="center"/>
        </w:trPr>
        <w:tc>
          <w:tcPr>
            <w:tcW w:w="0" w:type="auto"/>
            <w:tcBorders>
              <w:top w:val="nil"/>
              <w:left w:val="nil"/>
              <w:bottom w:val="nil"/>
              <w:right w:val="nil"/>
              <w:tl2br w:val="nil"/>
              <w:tr2bl w:val="nil"/>
            </w:tcBorders>
            <w:shd w:val="clear" w:color="auto" w:fill="FFE599" w:themeFill="accent4" w:themeFillTint="66"/>
            <w:tcMar>
              <w:top w:w="60" w:type="dxa"/>
              <w:left w:w="0" w:type="dxa"/>
              <w:bottom w:w="100" w:type="dxa"/>
              <w:right w:w="0" w:type="dxa"/>
            </w:tcMar>
            <w:vAlign w:val="center"/>
          </w:tcPr>
          <w:p w:rsidR="004B110F" w:rsidRDefault="001B78B5" w:rsidP="00460C2C">
            <w:pPr>
              <w:pStyle w:val="AppendixFinancialTableItem"/>
              <w:keepNext/>
              <w:keepLines/>
              <w:spacing w:after="280"/>
            </w:pPr>
            <w:r>
              <w:t>Paid-In Capital</w:t>
            </w:r>
          </w:p>
        </w:tc>
        <w:tc>
          <w:tcPr>
            <w:tcW w:w="0" w:type="auto"/>
            <w:gridSpan w:val="2"/>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€100,000,000</w:t>
            </w:r>
          </w:p>
        </w:tc>
        <w:tc>
          <w:tcPr>
            <w:tcW w:w="0" w:type="auto"/>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€100,000,000</w:t>
            </w:r>
          </w:p>
        </w:tc>
        <w:tc>
          <w:tcPr>
            <w:tcW w:w="0" w:type="auto"/>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€100,000,000</w:t>
            </w:r>
          </w:p>
        </w:tc>
        <w:tc>
          <w:tcPr>
            <w:tcW w:w="0" w:type="auto"/>
            <w:gridSpan w:val="2"/>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€100,000,000</w:t>
            </w:r>
          </w:p>
        </w:tc>
        <w:tc>
          <w:tcPr>
            <w:tcW w:w="0" w:type="auto"/>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€100,000,000</w:t>
            </w:r>
          </w:p>
        </w:tc>
        <w:tc>
          <w:tcPr>
            <w:tcW w:w="0" w:type="auto"/>
            <w:gridSpan w:val="2"/>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€100,000,000</w:t>
            </w:r>
          </w:p>
        </w:tc>
        <w:tc>
          <w:tcPr>
            <w:tcW w:w="0" w:type="auto"/>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€100,000,000</w:t>
            </w:r>
          </w:p>
        </w:tc>
        <w:tc>
          <w:tcPr>
            <w:tcW w:w="0" w:type="auto"/>
            <w:gridSpan w:val="2"/>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€100,000,000</w:t>
            </w:r>
          </w:p>
        </w:tc>
        <w:tc>
          <w:tcPr>
            <w:tcW w:w="0" w:type="auto"/>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€100,000,000</w:t>
            </w:r>
          </w:p>
        </w:tc>
        <w:tc>
          <w:tcPr>
            <w:tcW w:w="0" w:type="auto"/>
            <w:gridSpan w:val="2"/>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€100,000,000</w:t>
            </w:r>
          </w:p>
        </w:tc>
        <w:tc>
          <w:tcPr>
            <w:tcW w:w="0" w:type="auto"/>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€100,000,000</w:t>
            </w:r>
          </w:p>
        </w:tc>
        <w:tc>
          <w:tcPr>
            <w:tcW w:w="0" w:type="auto"/>
            <w:gridSpan w:val="2"/>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€100,000,000</w:t>
            </w:r>
          </w:p>
        </w:tc>
      </w:tr>
      <w:tr w:rsidR="0016590F" w:rsidTr="00D8640C">
        <w:trPr>
          <w:cantSplit/>
          <w:jc w:val="center"/>
        </w:trPr>
        <w:tc>
          <w:tcPr>
            <w:tcW w:w="0" w:type="auto"/>
            <w:tcBorders>
              <w:top w:val="nil"/>
              <w:left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Item"/>
              <w:keepNext/>
              <w:keepLines/>
              <w:spacing w:after="280"/>
            </w:pPr>
            <w:r>
              <w:t>Retained Earnings</w:t>
            </w:r>
          </w:p>
        </w:tc>
        <w:tc>
          <w:tcPr>
            <w:tcW w:w="0" w:type="auto"/>
            <w:gridSpan w:val="2"/>
            <w:tcBorders>
              <w:top w:val="nil"/>
              <w:left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tcBorders>
              <w:top w:val="nil"/>
              <w:left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2"/>
            <w:tcBorders>
              <w:top w:val="nil"/>
              <w:left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r>
      <w:tr w:rsidR="0016590F" w:rsidTr="00D8640C">
        <w:trPr>
          <w:cantSplit/>
          <w:jc w:val="center"/>
        </w:trPr>
        <w:tc>
          <w:tcPr>
            <w:tcW w:w="0" w:type="auto"/>
            <w:tcBorders>
              <w:top w:val="nil"/>
              <w:left w:val="nil"/>
              <w:bottom w:val="single" w:sz="6" w:space="0" w:color="auto"/>
              <w:right w:val="nil"/>
              <w:tl2br w:val="nil"/>
              <w:tr2bl w:val="nil"/>
            </w:tcBorders>
            <w:shd w:val="clear" w:color="auto" w:fill="9CC2E5" w:themeFill="accent5" w:themeFillTint="99"/>
            <w:tcMar>
              <w:top w:w="60" w:type="dxa"/>
              <w:left w:w="0" w:type="dxa"/>
              <w:bottom w:w="100" w:type="dxa"/>
              <w:right w:w="0" w:type="dxa"/>
            </w:tcMar>
            <w:vAlign w:val="center"/>
          </w:tcPr>
          <w:p w:rsidR="004B110F" w:rsidRDefault="001B78B5" w:rsidP="00460C2C">
            <w:pPr>
              <w:pStyle w:val="AppendixFinancialTableItem"/>
              <w:keepNext/>
              <w:keepLines/>
              <w:spacing w:after="280"/>
            </w:pPr>
            <w:r>
              <w:t>Earnings</w:t>
            </w:r>
          </w:p>
        </w:tc>
        <w:tc>
          <w:tcPr>
            <w:tcW w:w="0" w:type="auto"/>
            <w:gridSpan w:val="2"/>
            <w:tcBorders>
              <w:top w:val="nil"/>
              <w:left w:val="nil"/>
              <w:bottom w:val="single" w:sz="6" w:space="0" w:color="auto"/>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Item"/>
              <w:keepNext/>
              <w:keepLines/>
              <w:spacing w:after="280"/>
            </w:pPr>
            <w:r>
              <w:t>€240,714</w:t>
            </w:r>
          </w:p>
        </w:tc>
        <w:tc>
          <w:tcPr>
            <w:tcW w:w="0" w:type="auto"/>
            <w:tcBorders>
              <w:top w:val="nil"/>
              <w:left w:val="nil"/>
              <w:bottom w:val="single" w:sz="6" w:space="0" w:color="auto"/>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Item"/>
              <w:keepNext/>
              <w:keepLines/>
              <w:spacing w:after="280"/>
            </w:pPr>
            <w:r>
              <w:t>€531,119</w:t>
            </w:r>
          </w:p>
        </w:tc>
        <w:tc>
          <w:tcPr>
            <w:tcW w:w="0" w:type="auto"/>
            <w:tcBorders>
              <w:top w:val="nil"/>
              <w:left w:val="nil"/>
              <w:bottom w:val="single" w:sz="6" w:space="0" w:color="auto"/>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Item"/>
              <w:keepNext/>
              <w:keepLines/>
              <w:spacing w:after="280"/>
            </w:pPr>
            <w:r>
              <w:t>€846,044</w:t>
            </w:r>
          </w:p>
        </w:tc>
        <w:tc>
          <w:tcPr>
            <w:tcW w:w="0" w:type="auto"/>
            <w:gridSpan w:val="2"/>
            <w:tcBorders>
              <w:top w:val="nil"/>
              <w:left w:val="nil"/>
              <w:bottom w:val="single" w:sz="6" w:space="0" w:color="auto"/>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Item"/>
              <w:keepNext/>
              <w:keepLines/>
              <w:spacing w:after="280"/>
            </w:pPr>
            <w:r>
              <w:t>€1,193,137</w:t>
            </w:r>
          </w:p>
        </w:tc>
        <w:tc>
          <w:tcPr>
            <w:tcW w:w="0" w:type="auto"/>
            <w:tcBorders>
              <w:top w:val="nil"/>
              <w:left w:val="nil"/>
              <w:bottom w:val="single" w:sz="6" w:space="0" w:color="auto"/>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Item"/>
              <w:keepNext/>
              <w:keepLines/>
              <w:spacing w:after="280"/>
            </w:pPr>
            <w:r>
              <w:t>€1,567,302</w:t>
            </w:r>
          </w:p>
        </w:tc>
        <w:tc>
          <w:tcPr>
            <w:tcW w:w="0" w:type="auto"/>
            <w:gridSpan w:val="2"/>
            <w:tcBorders>
              <w:top w:val="nil"/>
              <w:left w:val="nil"/>
              <w:bottom w:val="single" w:sz="6" w:space="0" w:color="auto"/>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Item"/>
              <w:keepNext/>
              <w:keepLines/>
              <w:spacing w:after="280"/>
            </w:pPr>
            <w:r>
              <w:t>€1,943,779</w:t>
            </w:r>
          </w:p>
        </w:tc>
        <w:tc>
          <w:tcPr>
            <w:tcW w:w="0" w:type="auto"/>
            <w:tcBorders>
              <w:top w:val="nil"/>
              <w:left w:val="nil"/>
              <w:bottom w:val="single" w:sz="6" w:space="0" w:color="auto"/>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Item"/>
              <w:keepNext/>
              <w:keepLines/>
              <w:spacing w:after="280"/>
            </w:pPr>
            <w:r>
              <w:t>€2,339,364</w:t>
            </w:r>
          </w:p>
        </w:tc>
        <w:tc>
          <w:tcPr>
            <w:tcW w:w="0" w:type="auto"/>
            <w:gridSpan w:val="2"/>
            <w:tcBorders>
              <w:top w:val="nil"/>
              <w:left w:val="nil"/>
              <w:bottom w:val="single" w:sz="6" w:space="0" w:color="auto"/>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Item"/>
              <w:keepNext/>
              <w:keepLines/>
              <w:spacing w:after="280"/>
            </w:pPr>
            <w:r>
              <w:t>€2,764,883</w:t>
            </w:r>
          </w:p>
        </w:tc>
        <w:tc>
          <w:tcPr>
            <w:tcW w:w="0" w:type="auto"/>
            <w:tcBorders>
              <w:top w:val="nil"/>
              <w:left w:val="nil"/>
              <w:bottom w:val="single" w:sz="6" w:space="0" w:color="auto"/>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Item"/>
              <w:keepNext/>
              <w:keepLines/>
              <w:spacing w:after="280"/>
            </w:pPr>
            <w:r>
              <w:t>€3,173,709</w:t>
            </w:r>
          </w:p>
        </w:tc>
        <w:tc>
          <w:tcPr>
            <w:tcW w:w="0" w:type="auto"/>
            <w:gridSpan w:val="2"/>
            <w:tcBorders>
              <w:top w:val="nil"/>
              <w:left w:val="nil"/>
              <w:bottom w:val="single" w:sz="6" w:space="0" w:color="auto"/>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Item"/>
              <w:keepNext/>
              <w:keepLines/>
              <w:spacing w:after="280"/>
            </w:pPr>
            <w:r>
              <w:t>€3,666,649</w:t>
            </w:r>
          </w:p>
        </w:tc>
        <w:tc>
          <w:tcPr>
            <w:tcW w:w="0" w:type="auto"/>
            <w:tcBorders>
              <w:top w:val="nil"/>
              <w:left w:val="nil"/>
              <w:bottom w:val="single" w:sz="6" w:space="0" w:color="auto"/>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Item"/>
              <w:keepNext/>
              <w:keepLines/>
              <w:spacing w:after="280"/>
            </w:pPr>
            <w:r>
              <w:t>€4,190,851</w:t>
            </w:r>
          </w:p>
        </w:tc>
        <w:tc>
          <w:tcPr>
            <w:tcW w:w="0" w:type="auto"/>
            <w:gridSpan w:val="2"/>
            <w:tcBorders>
              <w:top w:val="nil"/>
              <w:left w:val="nil"/>
              <w:bottom w:val="single" w:sz="6" w:space="0" w:color="auto"/>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Item"/>
              <w:keepNext/>
              <w:keepLines/>
              <w:spacing w:after="280"/>
            </w:pPr>
            <w:r>
              <w:t>€4,760,436</w:t>
            </w:r>
          </w:p>
        </w:tc>
      </w:tr>
      <w:tr w:rsidR="0016590F" w:rsidTr="00D8640C">
        <w:trPr>
          <w:cantSplit/>
          <w:jc w:val="center"/>
        </w:trPr>
        <w:tc>
          <w:tcPr>
            <w:tcW w:w="0" w:type="auto"/>
            <w:tcBorders>
              <w:top w:val="single" w:sz="6" w:space="0" w:color="auto"/>
              <w:left w:val="nil"/>
              <w:bottom w:val="single" w:sz="8" w:space="0" w:color="000000"/>
              <w:right w:val="nil"/>
              <w:tl2br w:val="nil"/>
              <w:tr2bl w:val="nil"/>
            </w:tcBorders>
            <w:shd w:val="clear" w:color="auto" w:fill="auto"/>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 w:val="12"/>
              </w:rPr>
            </w:pPr>
            <w:r w:rsidRPr="00484E7B">
              <w:rPr>
                <w:sz w:val="12"/>
              </w:rPr>
              <w:t>Total Owner's Equity</w:t>
            </w:r>
          </w:p>
        </w:tc>
        <w:tc>
          <w:tcPr>
            <w:tcW w:w="0" w:type="auto"/>
            <w:gridSpan w:val="2"/>
            <w:tcBorders>
              <w:top w:val="single" w:sz="6" w:space="0" w:color="auto"/>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 w:val="12"/>
              </w:rPr>
            </w:pPr>
            <w:r w:rsidRPr="00484E7B">
              <w:rPr>
                <w:sz w:val="12"/>
              </w:rPr>
              <w:t>€100,240,714</w:t>
            </w:r>
          </w:p>
        </w:tc>
        <w:tc>
          <w:tcPr>
            <w:tcW w:w="0" w:type="auto"/>
            <w:tcBorders>
              <w:top w:val="single" w:sz="6" w:space="0" w:color="auto"/>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 w:val="12"/>
              </w:rPr>
            </w:pPr>
            <w:r w:rsidRPr="00484E7B">
              <w:rPr>
                <w:sz w:val="12"/>
              </w:rPr>
              <w:t>€100,531,119</w:t>
            </w:r>
          </w:p>
        </w:tc>
        <w:tc>
          <w:tcPr>
            <w:tcW w:w="0" w:type="auto"/>
            <w:tcBorders>
              <w:top w:val="single" w:sz="6" w:space="0" w:color="auto"/>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 w:val="12"/>
              </w:rPr>
            </w:pPr>
            <w:r w:rsidRPr="00484E7B">
              <w:rPr>
                <w:sz w:val="12"/>
              </w:rPr>
              <w:t>€100,846,044</w:t>
            </w:r>
          </w:p>
        </w:tc>
        <w:tc>
          <w:tcPr>
            <w:tcW w:w="0" w:type="auto"/>
            <w:gridSpan w:val="2"/>
            <w:tcBorders>
              <w:top w:val="single" w:sz="6" w:space="0" w:color="auto"/>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 w:val="12"/>
              </w:rPr>
            </w:pPr>
            <w:r w:rsidRPr="00484E7B">
              <w:rPr>
                <w:sz w:val="12"/>
              </w:rPr>
              <w:t>€101,193,137</w:t>
            </w:r>
          </w:p>
        </w:tc>
        <w:tc>
          <w:tcPr>
            <w:tcW w:w="0" w:type="auto"/>
            <w:tcBorders>
              <w:top w:val="single" w:sz="6" w:space="0" w:color="auto"/>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 w:val="12"/>
              </w:rPr>
            </w:pPr>
            <w:r w:rsidRPr="00484E7B">
              <w:rPr>
                <w:sz w:val="12"/>
              </w:rPr>
              <w:t>€101,567,302</w:t>
            </w:r>
          </w:p>
        </w:tc>
        <w:tc>
          <w:tcPr>
            <w:tcW w:w="0" w:type="auto"/>
            <w:gridSpan w:val="2"/>
            <w:tcBorders>
              <w:top w:val="single" w:sz="6" w:space="0" w:color="auto"/>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 w:val="12"/>
              </w:rPr>
            </w:pPr>
            <w:r w:rsidRPr="00484E7B">
              <w:rPr>
                <w:sz w:val="12"/>
              </w:rPr>
              <w:t>€101,943,779</w:t>
            </w:r>
          </w:p>
        </w:tc>
        <w:tc>
          <w:tcPr>
            <w:tcW w:w="0" w:type="auto"/>
            <w:tcBorders>
              <w:top w:val="single" w:sz="6" w:space="0" w:color="auto"/>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 w:val="12"/>
              </w:rPr>
            </w:pPr>
            <w:r w:rsidRPr="00484E7B">
              <w:rPr>
                <w:sz w:val="12"/>
              </w:rPr>
              <w:t>€102,339,364</w:t>
            </w:r>
          </w:p>
        </w:tc>
        <w:tc>
          <w:tcPr>
            <w:tcW w:w="0" w:type="auto"/>
            <w:gridSpan w:val="2"/>
            <w:tcBorders>
              <w:top w:val="single" w:sz="6" w:space="0" w:color="auto"/>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 w:val="12"/>
              </w:rPr>
            </w:pPr>
            <w:r w:rsidRPr="00484E7B">
              <w:rPr>
                <w:sz w:val="12"/>
              </w:rPr>
              <w:t>€102,764,883</w:t>
            </w:r>
          </w:p>
        </w:tc>
        <w:tc>
          <w:tcPr>
            <w:tcW w:w="0" w:type="auto"/>
            <w:tcBorders>
              <w:top w:val="single" w:sz="6" w:space="0" w:color="auto"/>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 w:val="12"/>
              </w:rPr>
            </w:pPr>
            <w:r w:rsidRPr="00484E7B">
              <w:rPr>
                <w:sz w:val="12"/>
              </w:rPr>
              <w:t>€103,173,709</w:t>
            </w:r>
          </w:p>
        </w:tc>
        <w:tc>
          <w:tcPr>
            <w:tcW w:w="0" w:type="auto"/>
            <w:gridSpan w:val="2"/>
            <w:tcBorders>
              <w:top w:val="single" w:sz="6" w:space="0" w:color="auto"/>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 w:val="12"/>
              </w:rPr>
            </w:pPr>
            <w:r w:rsidRPr="00484E7B">
              <w:rPr>
                <w:sz w:val="12"/>
              </w:rPr>
              <w:t>€103,666,649</w:t>
            </w:r>
          </w:p>
        </w:tc>
        <w:tc>
          <w:tcPr>
            <w:tcW w:w="0" w:type="auto"/>
            <w:tcBorders>
              <w:top w:val="single" w:sz="6" w:space="0" w:color="auto"/>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 w:val="12"/>
              </w:rPr>
            </w:pPr>
            <w:r w:rsidRPr="00484E7B">
              <w:rPr>
                <w:sz w:val="12"/>
              </w:rPr>
              <w:t>€104,190,851</w:t>
            </w:r>
          </w:p>
        </w:tc>
        <w:tc>
          <w:tcPr>
            <w:tcW w:w="0" w:type="auto"/>
            <w:gridSpan w:val="2"/>
            <w:tcBorders>
              <w:top w:val="single" w:sz="6" w:space="0" w:color="auto"/>
              <w:left w:val="nil"/>
              <w:bottom w:val="single" w:sz="8" w:space="0" w:color="000000"/>
              <w:right w:val="nil"/>
              <w:tl2br w:val="nil"/>
              <w:tr2bl w:val="nil"/>
            </w:tcBorders>
            <w:shd w:val="clear" w:color="auto" w:fill="auto"/>
            <w:noWrap/>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 w:val="12"/>
              </w:rPr>
            </w:pPr>
            <w:r w:rsidRPr="00484E7B">
              <w:rPr>
                <w:sz w:val="12"/>
              </w:rPr>
              <w:t>€104,760,436</w:t>
            </w:r>
          </w:p>
        </w:tc>
      </w:tr>
      <w:tr w:rsidR="0016590F" w:rsidTr="00D8640C">
        <w:trPr>
          <w:cantSplit/>
          <w:jc w:val="center"/>
        </w:trPr>
        <w:tc>
          <w:tcPr>
            <w:tcW w:w="0" w:type="auto"/>
            <w:tcBorders>
              <w:top w:val="nil"/>
              <w:left w:val="nil"/>
              <w:bottom w:val="single" w:sz="8" w:space="0" w:color="000000"/>
              <w:right w:val="nil"/>
              <w:tl2br w:val="nil"/>
              <w:tr2bl w:val="nil"/>
            </w:tcBorders>
            <w:shd w:val="clear" w:color="auto" w:fill="92D050"/>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 w:val="12"/>
              </w:rPr>
            </w:pPr>
            <w:r w:rsidRPr="00484E7B">
              <w:rPr>
                <w:sz w:val="12"/>
              </w:rPr>
              <w:t>Total Liabilities &amp; Equity</w:t>
            </w:r>
          </w:p>
        </w:tc>
        <w:tc>
          <w:tcPr>
            <w:tcW w:w="0" w:type="auto"/>
            <w:gridSpan w:val="2"/>
            <w:tcBorders>
              <w:top w:val="nil"/>
              <w:left w:val="nil"/>
              <w:bottom w:val="single" w:sz="8" w:space="0" w:color="000000"/>
              <w:right w:val="nil"/>
              <w:tl2br w:val="nil"/>
              <w:tr2bl w:val="nil"/>
            </w:tcBorders>
            <w:shd w:val="clear" w:color="auto" w:fill="92D050"/>
            <w:noWrap/>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Cs w:val="14"/>
              </w:rPr>
            </w:pPr>
            <w:r w:rsidRPr="00484E7B">
              <w:rPr>
                <w:szCs w:val="14"/>
              </w:rPr>
              <w:t>€100,528,676</w:t>
            </w:r>
          </w:p>
        </w:tc>
        <w:tc>
          <w:tcPr>
            <w:tcW w:w="0" w:type="auto"/>
            <w:tcBorders>
              <w:top w:val="nil"/>
              <w:left w:val="nil"/>
              <w:bottom w:val="single" w:sz="8" w:space="0" w:color="000000"/>
              <w:right w:val="nil"/>
              <w:tl2br w:val="nil"/>
              <w:tr2bl w:val="nil"/>
            </w:tcBorders>
            <w:shd w:val="clear" w:color="auto" w:fill="92D050"/>
            <w:noWrap/>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Cs w:val="14"/>
              </w:rPr>
            </w:pPr>
            <w:r w:rsidRPr="00484E7B">
              <w:rPr>
                <w:szCs w:val="14"/>
              </w:rPr>
              <w:t>€101,145,320</w:t>
            </w:r>
          </w:p>
        </w:tc>
        <w:tc>
          <w:tcPr>
            <w:tcW w:w="0" w:type="auto"/>
            <w:tcBorders>
              <w:top w:val="nil"/>
              <w:left w:val="nil"/>
              <w:bottom w:val="single" w:sz="8" w:space="0" w:color="000000"/>
              <w:right w:val="nil"/>
              <w:tl2br w:val="nil"/>
              <w:tr2bl w:val="nil"/>
            </w:tcBorders>
            <w:shd w:val="clear" w:color="auto" w:fill="92D050"/>
            <w:noWrap/>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Cs w:val="14"/>
              </w:rPr>
            </w:pPr>
            <w:r w:rsidRPr="00484E7B">
              <w:rPr>
                <w:szCs w:val="14"/>
              </w:rPr>
              <w:t>€101,808,486</w:t>
            </w:r>
          </w:p>
        </w:tc>
        <w:tc>
          <w:tcPr>
            <w:tcW w:w="0" w:type="auto"/>
            <w:gridSpan w:val="2"/>
            <w:tcBorders>
              <w:top w:val="nil"/>
              <w:left w:val="nil"/>
              <w:bottom w:val="single" w:sz="8" w:space="0" w:color="000000"/>
              <w:right w:val="nil"/>
              <w:tl2br w:val="nil"/>
              <w:tr2bl w:val="nil"/>
            </w:tcBorders>
            <w:shd w:val="clear" w:color="auto" w:fill="92D050"/>
            <w:noWrap/>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Cs w:val="14"/>
              </w:rPr>
            </w:pPr>
            <w:r w:rsidRPr="00484E7B">
              <w:rPr>
                <w:szCs w:val="14"/>
              </w:rPr>
              <w:t>€102,023,062</w:t>
            </w:r>
          </w:p>
        </w:tc>
        <w:tc>
          <w:tcPr>
            <w:tcW w:w="0" w:type="auto"/>
            <w:tcBorders>
              <w:top w:val="nil"/>
              <w:left w:val="nil"/>
              <w:bottom w:val="single" w:sz="8" w:space="0" w:color="000000"/>
              <w:right w:val="nil"/>
              <w:tl2br w:val="nil"/>
              <w:tr2bl w:val="nil"/>
            </w:tcBorders>
            <w:shd w:val="clear" w:color="auto" w:fill="92D050"/>
            <w:noWrap/>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Cs w:val="14"/>
              </w:rPr>
            </w:pPr>
            <w:r w:rsidRPr="00484E7B">
              <w:rPr>
                <w:szCs w:val="14"/>
              </w:rPr>
              <w:t>€102,794,967</w:t>
            </w:r>
          </w:p>
        </w:tc>
        <w:tc>
          <w:tcPr>
            <w:tcW w:w="0" w:type="auto"/>
            <w:gridSpan w:val="2"/>
            <w:tcBorders>
              <w:top w:val="nil"/>
              <w:left w:val="nil"/>
              <w:bottom w:val="single" w:sz="8" w:space="0" w:color="000000"/>
              <w:right w:val="nil"/>
              <w:tl2br w:val="nil"/>
              <w:tr2bl w:val="nil"/>
            </w:tcBorders>
            <w:shd w:val="clear" w:color="auto" w:fill="92D050"/>
            <w:noWrap/>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Cs w:val="14"/>
              </w:rPr>
            </w:pPr>
            <w:r w:rsidRPr="00484E7B">
              <w:rPr>
                <w:szCs w:val="14"/>
              </w:rPr>
              <w:t>€103,571,229</w:t>
            </w:r>
          </w:p>
        </w:tc>
        <w:tc>
          <w:tcPr>
            <w:tcW w:w="0" w:type="auto"/>
            <w:tcBorders>
              <w:top w:val="nil"/>
              <w:left w:val="nil"/>
              <w:bottom w:val="single" w:sz="8" w:space="0" w:color="000000"/>
              <w:right w:val="nil"/>
              <w:tl2br w:val="nil"/>
              <w:tr2bl w:val="nil"/>
            </w:tcBorders>
            <w:shd w:val="clear" w:color="auto" w:fill="92D050"/>
            <w:noWrap/>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Cs w:val="14"/>
              </w:rPr>
            </w:pPr>
            <w:r w:rsidRPr="00484E7B">
              <w:rPr>
                <w:szCs w:val="14"/>
              </w:rPr>
              <w:t>€103,804,888</w:t>
            </w:r>
          </w:p>
        </w:tc>
        <w:tc>
          <w:tcPr>
            <w:tcW w:w="0" w:type="auto"/>
            <w:gridSpan w:val="2"/>
            <w:tcBorders>
              <w:top w:val="nil"/>
              <w:left w:val="nil"/>
              <w:bottom w:val="single" w:sz="8" w:space="0" w:color="000000"/>
              <w:right w:val="nil"/>
              <w:tl2br w:val="nil"/>
              <w:tr2bl w:val="nil"/>
            </w:tcBorders>
            <w:shd w:val="clear" w:color="auto" w:fill="92D050"/>
            <w:noWrap/>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Cs w:val="14"/>
              </w:rPr>
            </w:pPr>
            <w:r w:rsidRPr="00484E7B">
              <w:rPr>
                <w:szCs w:val="14"/>
              </w:rPr>
              <w:t>€104,674,199</w:t>
            </w:r>
          </w:p>
        </w:tc>
        <w:tc>
          <w:tcPr>
            <w:tcW w:w="0" w:type="auto"/>
            <w:tcBorders>
              <w:top w:val="nil"/>
              <w:left w:val="nil"/>
              <w:bottom w:val="single" w:sz="8" w:space="0" w:color="000000"/>
              <w:right w:val="nil"/>
              <w:tl2br w:val="nil"/>
              <w:tr2bl w:val="nil"/>
            </w:tcBorders>
            <w:shd w:val="clear" w:color="auto" w:fill="92D050"/>
            <w:noWrap/>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Cs w:val="14"/>
              </w:rPr>
            </w:pPr>
            <w:r w:rsidRPr="00484E7B">
              <w:rPr>
                <w:szCs w:val="14"/>
              </w:rPr>
              <w:t>€105,518,629</w:t>
            </w:r>
          </w:p>
        </w:tc>
        <w:tc>
          <w:tcPr>
            <w:tcW w:w="0" w:type="auto"/>
            <w:gridSpan w:val="2"/>
            <w:tcBorders>
              <w:top w:val="nil"/>
              <w:left w:val="nil"/>
              <w:bottom w:val="single" w:sz="8" w:space="0" w:color="000000"/>
              <w:right w:val="nil"/>
              <w:tl2br w:val="nil"/>
              <w:tr2bl w:val="nil"/>
            </w:tcBorders>
            <w:shd w:val="clear" w:color="auto" w:fill="92D050"/>
            <w:noWrap/>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Cs w:val="14"/>
              </w:rPr>
            </w:pPr>
            <w:r w:rsidRPr="00484E7B">
              <w:rPr>
                <w:szCs w:val="14"/>
              </w:rPr>
              <w:t>€105,873,265</w:t>
            </w:r>
          </w:p>
        </w:tc>
        <w:tc>
          <w:tcPr>
            <w:tcW w:w="0" w:type="auto"/>
            <w:tcBorders>
              <w:top w:val="nil"/>
              <w:left w:val="nil"/>
              <w:bottom w:val="single" w:sz="8" w:space="0" w:color="000000"/>
              <w:right w:val="nil"/>
              <w:tl2br w:val="nil"/>
              <w:tr2bl w:val="nil"/>
            </w:tcBorders>
            <w:shd w:val="clear" w:color="auto" w:fill="92D050"/>
            <w:noWrap/>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Cs w:val="14"/>
              </w:rPr>
            </w:pPr>
            <w:r w:rsidRPr="00484E7B">
              <w:rPr>
                <w:szCs w:val="14"/>
              </w:rPr>
              <w:t>€106,920,796</w:t>
            </w:r>
          </w:p>
        </w:tc>
        <w:tc>
          <w:tcPr>
            <w:tcW w:w="0" w:type="auto"/>
            <w:gridSpan w:val="2"/>
            <w:tcBorders>
              <w:top w:val="nil"/>
              <w:left w:val="nil"/>
              <w:bottom w:val="single" w:sz="8" w:space="0" w:color="000000"/>
              <w:right w:val="nil"/>
              <w:tl2br w:val="nil"/>
              <w:tr2bl w:val="nil"/>
            </w:tcBorders>
            <w:shd w:val="clear" w:color="auto" w:fill="92D050"/>
            <w:noWrap/>
            <w:tcMar>
              <w:top w:w="60" w:type="dxa"/>
              <w:left w:w="0" w:type="dxa"/>
              <w:bottom w:w="100" w:type="dxa"/>
              <w:right w:w="0" w:type="dxa"/>
            </w:tcMar>
            <w:vAlign w:val="center"/>
          </w:tcPr>
          <w:p w:rsidR="004B110F" w:rsidRPr="00484E7B" w:rsidRDefault="001B78B5" w:rsidP="00460C2C">
            <w:pPr>
              <w:pStyle w:val="AppendixFinancialTableGroupFooter"/>
              <w:keepNext/>
              <w:keepLines/>
              <w:spacing w:after="280"/>
              <w:rPr>
                <w:szCs w:val="14"/>
              </w:rPr>
            </w:pPr>
            <w:r w:rsidRPr="00484E7B">
              <w:rPr>
                <w:szCs w:val="14"/>
              </w:rPr>
              <w:t>€108,048,548</w:t>
            </w:r>
          </w:p>
        </w:tc>
      </w:tr>
      <w:tr w:rsidR="0016590F" w:rsidTr="00D8640C">
        <w:trPr>
          <w:gridAfter w:val="1"/>
          <w:cantSplit/>
          <w:jc w:val="center"/>
        </w:trPr>
        <w:tc>
          <w:tcPr>
            <w:tcW w:w="0" w:type="auto"/>
            <w:gridSpan w:val="2"/>
            <w:tcBorders>
              <w:top w:val="nil"/>
              <w:left w:val="nil"/>
              <w:bottom w:val="single" w:sz="8" w:space="0" w:color="000000"/>
              <w:right w:val="nil"/>
              <w:tl2br w:val="nil"/>
              <w:tr2bl w:val="nil"/>
            </w:tcBorders>
            <w:shd w:val="clear" w:color="auto" w:fill="018BB3"/>
            <w:tcMar>
              <w:top w:w="60" w:type="dxa"/>
              <w:left w:w="0" w:type="dxa"/>
              <w:bottom w:w="100" w:type="dxa"/>
              <w:right w:w="0" w:type="dxa"/>
            </w:tcMar>
            <w:vAlign w:val="center"/>
          </w:tcPr>
          <w:p w:rsidR="004B110F" w:rsidRDefault="004B110F" w:rsidP="00460C2C">
            <w:pPr>
              <w:pStyle w:val="AppendixFinancialTableHeader"/>
              <w:keepNext/>
              <w:keepLines/>
              <w:spacing w:after="280"/>
            </w:pPr>
          </w:p>
        </w:tc>
        <w:tc>
          <w:tcPr>
            <w:tcW w:w="0" w:type="auto"/>
            <w:gridSpan w:val="4"/>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2019</w:t>
            </w:r>
          </w:p>
        </w:tc>
        <w:tc>
          <w:tcPr>
            <w:tcW w:w="0" w:type="auto"/>
            <w:gridSpan w:val="3"/>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2020</w:t>
            </w:r>
          </w:p>
        </w:tc>
        <w:tc>
          <w:tcPr>
            <w:tcW w:w="0" w:type="auto"/>
            <w:gridSpan w:val="3"/>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2021</w:t>
            </w:r>
          </w:p>
        </w:tc>
        <w:tc>
          <w:tcPr>
            <w:tcW w:w="0" w:type="auto"/>
            <w:gridSpan w:val="3"/>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2022</w:t>
            </w:r>
          </w:p>
        </w:tc>
        <w:tc>
          <w:tcPr>
            <w:tcW w:w="0" w:type="auto"/>
            <w:gridSpan w:val="3"/>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2023</w:t>
            </w:r>
          </w:p>
        </w:tc>
      </w:tr>
      <w:tr w:rsidR="0016590F" w:rsidTr="00D8640C">
        <w:trPr>
          <w:gridAfter w:val="1"/>
          <w:cantSplit/>
          <w:jc w:val="center"/>
        </w:trPr>
        <w:tc>
          <w:tcPr>
            <w:tcW w:w="0" w:type="auto"/>
            <w:gridSpan w:val="2"/>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Item"/>
              <w:keepNext/>
              <w:keepLines/>
              <w:spacing w:after="280"/>
            </w:pPr>
            <w:r>
              <w:t>Cash</w:t>
            </w:r>
          </w:p>
        </w:tc>
        <w:tc>
          <w:tcPr>
            <w:tcW w:w="0" w:type="auto"/>
            <w:gridSpan w:val="4"/>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€102,047,199</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€119,797,564</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€158,169,685</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€235,281,161</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€435,682,118</w:t>
            </w:r>
          </w:p>
        </w:tc>
      </w:tr>
      <w:tr w:rsidR="0016590F" w:rsidTr="00D8640C">
        <w:trPr>
          <w:gridAfter w:val="1"/>
          <w:cantSplit/>
          <w:jc w:val="center"/>
        </w:trPr>
        <w:tc>
          <w:tcPr>
            <w:tcW w:w="0" w:type="auto"/>
            <w:gridSpan w:val="2"/>
            <w:tcBorders>
              <w:top w:val="nil"/>
              <w:left w:val="nil"/>
              <w:bottom w:val="nil"/>
              <w:right w:val="nil"/>
              <w:tl2br w:val="nil"/>
              <w:tr2bl w:val="nil"/>
            </w:tcBorders>
            <w:shd w:val="clear" w:color="auto" w:fill="ACB9CA" w:themeFill="text2" w:themeFillTint="66"/>
            <w:tcMar>
              <w:top w:w="60" w:type="dxa"/>
              <w:left w:w="0" w:type="dxa"/>
              <w:bottom w:w="100" w:type="dxa"/>
              <w:right w:w="0" w:type="dxa"/>
            </w:tcMar>
            <w:vAlign w:val="center"/>
          </w:tcPr>
          <w:p w:rsidR="004B110F" w:rsidRDefault="001B78B5" w:rsidP="00460C2C">
            <w:pPr>
              <w:pStyle w:val="AppendixFinancialTableItem"/>
              <w:keepNext/>
              <w:keepLines/>
              <w:spacing w:after="280"/>
            </w:pPr>
            <w:r>
              <w:t>Accounts Receivable</w:t>
            </w:r>
          </w:p>
        </w:tc>
        <w:tc>
          <w:tcPr>
            <w:tcW w:w="0" w:type="auto"/>
            <w:gridSpan w:val="4"/>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gridSpan w:val="3"/>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gridSpan w:val="3"/>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gridSpan w:val="3"/>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gridSpan w:val="3"/>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r>
      <w:tr w:rsidR="0016590F" w:rsidTr="00D8640C">
        <w:trPr>
          <w:gridAfter w:val="1"/>
          <w:cantSplit/>
          <w:jc w:val="center"/>
        </w:trPr>
        <w:tc>
          <w:tcPr>
            <w:tcW w:w="0" w:type="auto"/>
            <w:gridSpan w:val="2"/>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Item"/>
              <w:keepNext/>
              <w:keepLines/>
              <w:spacing w:after="280"/>
            </w:pPr>
            <w:r>
              <w:t>Inventory</w:t>
            </w:r>
          </w:p>
        </w:tc>
        <w:tc>
          <w:tcPr>
            <w:tcW w:w="0" w:type="auto"/>
            <w:gridSpan w:val="4"/>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r>
      <w:tr w:rsidR="0016590F" w:rsidTr="00D8640C">
        <w:trPr>
          <w:gridAfter w:val="1"/>
          <w:cantSplit/>
          <w:jc w:val="center"/>
        </w:trPr>
        <w:tc>
          <w:tcPr>
            <w:tcW w:w="0" w:type="auto"/>
            <w:gridSpan w:val="2"/>
            <w:tcBorders>
              <w:top w:val="nil"/>
              <w:left w:val="nil"/>
              <w:bottom w:val="nil"/>
              <w:right w:val="nil"/>
              <w:tl2br w:val="nil"/>
              <w:tr2bl w:val="nil"/>
            </w:tcBorders>
            <w:shd w:val="clear" w:color="auto" w:fill="ACB9CA" w:themeFill="text2" w:themeFillTint="66"/>
            <w:tcMar>
              <w:top w:w="60" w:type="dxa"/>
              <w:left w:w="0" w:type="dxa"/>
              <w:bottom w:w="100" w:type="dxa"/>
              <w:right w:w="0" w:type="dxa"/>
            </w:tcMar>
            <w:vAlign w:val="center"/>
          </w:tcPr>
          <w:p w:rsidR="004B110F" w:rsidRDefault="001B78B5" w:rsidP="00460C2C">
            <w:pPr>
              <w:pStyle w:val="AppendixFinancialTableItem"/>
              <w:keepNext/>
              <w:keepLines/>
              <w:spacing w:after="280"/>
            </w:pPr>
            <w:r>
              <w:t>Other Current Assets</w:t>
            </w:r>
          </w:p>
        </w:tc>
        <w:tc>
          <w:tcPr>
            <w:tcW w:w="0" w:type="auto"/>
            <w:gridSpan w:val="4"/>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3"/>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3"/>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3"/>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3"/>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r>
      <w:tr w:rsidR="0016590F" w:rsidTr="00D8640C">
        <w:trPr>
          <w:gridAfter w:val="1"/>
          <w:cantSplit/>
          <w:jc w:val="center"/>
        </w:trPr>
        <w:tc>
          <w:tcPr>
            <w:tcW w:w="0" w:type="auto"/>
            <w:gridSpan w:val="2"/>
            <w:tcBorders>
              <w:top w:val="nil"/>
              <w:left w:val="nil"/>
              <w:bottom w:val="nil"/>
              <w:right w:val="nil"/>
              <w:tl2br w:val="nil"/>
              <w:tr2bl w:val="nil"/>
            </w:tcBorders>
            <w:shd w:val="clear" w:color="auto" w:fill="FFE599" w:themeFill="accent4" w:themeFillTint="66"/>
            <w:tcMar>
              <w:top w:w="60" w:type="dxa"/>
              <w:left w:w="0" w:type="dxa"/>
              <w:bottom w:w="100" w:type="dxa"/>
              <w:right w:w="0" w:type="dxa"/>
            </w:tcMar>
            <w:vAlign w:val="center"/>
          </w:tcPr>
          <w:p w:rsidR="004B110F" w:rsidRDefault="001B78B5" w:rsidP="00460C2C">
            <w:pPr>
              <w:pStyle w:val="AppendixFinancialTableGroupHeader"/>
              <w:keepNext/>
              <w:keepLines/>
              <w:spacing w:after="280"/>
            </w:pPr>
            <w:r>
              <w:lastRenderedPageBreak/>
              <w:t>Total Current Assets</w:t>
            </w:r>
          </w:p>
        </w:tc>
        <w:tc>
          <w:tcPr>
            <w:tcW w:w="0" w:type="auto"/>
            <w:gridSpan w:val="4"/>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€102,047,199</w:t>
            </w:r>
          </w:p>
        </w:tc>
        <w:tc>
          <w:tcPr>
            <w:tcW w:w="0" w:type="auto"/>
            <w:gridSpan w:val="3"/>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€119,797,564</w:t>
            </w:r>
          </w:p>
        </w:tc>
        <w:tc>
          <w:tcPr>
            <w:tcW w:w="0" w:type="auto"/>
            <w:gridSpan w:val="3"/>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€158,169,685</w:t>
            </w:r>
          </w:p>
        </w:tc>
        <w:tc>
          <w:tcPr>
            <w:tcW w:w="0" w:type="auto"/>
            <w:gridSpan w:val="3"/>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€235,281,161</w:t>
            </w:r>
          </w:p>
        </w:tc>
        <w:tc>
          <w:tcPr>
            <w:tcW w:w="0" w:type="auto"/>
            <w:gridSpan w:val="3"/>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€435,682,118</w:t>
            </w:r>
          </w:p>
        </w:tc>
      </w:tr>
      <w:tr w:rsidR="0016590F" w:rsidTr="00D8640C">
        <w:trPr>
          <w:gridAfter w:val="1"/>
          <w:cantSplit/>
          <w:trHeight w:hRule="exact" w:val="20"/>
          <w:jc w:val="center"/>
        </w:trPr>
        <w:tc>
          <w:tcPr>
            <w:tcW w:w="0" w:type="auto"/>
            <w:gridSpan w:val="2"/>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4"/>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r>
      <w:tr w:rsidR="0016590F" w:rsidTr="00D8640C">
        <w:trPr>
          <w:gridAfter w:val="1"/>
          <w:cantSplit/>
          <w:jc w:val="center"/>
        </w:trPr>
        <w:tc>
          <w:tcPr>
            <w:tcW w:w="0" w:type="auto"/>
            <w:gridSpan w:val="2"/>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Item"/>
              <w:keepNext/>
              <w:keepLines/>
              <w:spacing w:after="280"/>
            </w:pPr>
            <w:r>
              <w:t>Long-Term Assets</w:t>
            </w:r>
          </w:p>
        </w:tc>
        <w:tc>
          <w:tcPr>
            <w:tcW w:w="0" w:type="auto"/>
            <w:gridSpan w:val="4"/>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€6,506,000</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€6,976,000</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€7,461,000</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€7,971,000</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€8,511,000</w:t>
            </w:r>
          </w:p>
        </w:tc>
      </w:tr>
      <w:tr w:rsidR="0016590F" w:rsidTr="00D8640C">
        <w:trPr>
          <w:gridAfter w:val="1"/>
          <w:cantSplit/>
          <w:jc w:val="center"/>
        </w:trPr>
        <w:tc>
          <w:tcPr>
            <w:tcW w:w="0" w:type="auto"/>
            <w:gridSpan w:val="2"/>
            <w:tcBorders>
              <w:top w:val="nil"/>
              <w:left w:val="nil"/>
              <w:bottom w:val="nil"/>
              <w:right w:val="nil"/>
              <w:tl2br w:val="nil"/>
              <w:tr2bl w:val="nil"/>
            </w:tcBorders>
            <w:shd w:val="clear" w:color="auto" w:fill="ACB9CA" w:themeFill="text2" w:themeFillTint="66"/>
            <w:tcMar>
              <w:top w:w="60" w:type="dxa"/>
              <w:left w:w="0" w:type="dxa"/>
              <w:bottom w:w="100" w:type="dxa"/>
              <w:right w:w="0" w:type="dxa"/>
            </w:tcMar>
            <w:vAlign w:val="center"/>
          </w:tcPr>
          <w:p w:rsidR="004B110F" w:rsidRDefault="001B78B5" w:rsidP="00460C2C">
            <w:pPr>
              <w:pStyle w:val="AppendixFinancialTableItem"/>
              <w:keepNext/>
              <w:keepLines/>
              <w:spacing w:after="280"/>
            </w:pPr>
            <w:r>
              <w:t>Accumulated Depreciation</w:t>
            </w:r>
          </w:p>
        </w:tc>
        <w:tc>
          <w:tcPr>
            <w:tcW w:w="0" w:type="auto"/>
            <w:gridSpan w:val="4"/>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(€504,651)</w:t>
            </w:r>
          </w:p>
        </w:tc>
        <w:tc>
          <w:tcPr>
            <w:tcW w:w="0" w:type="auto"/>
            <w:gridSpan w:val="3"/>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(€1,050,524)</w:t>
            </w:r>
          </w:p>
        </w:tc>
        <w:tc>
          <w:tcPr>
            <w:tcW w:w="0" w:type="auto"/>
            <w:gridSpan w:val="3"/>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(€1,668,685)</w:t>
            </w:r>
          </w:p>
        </w:tc>
        <w:tc>
          <w:tcPr>
            <w:tcW w:w="0" w:type="auto"/>
            <w:gridSpan w:val="3"/>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(€2,345,264)</w:t>
            </w:r>
          </w:p>
        </w:tc>
        <w:tc>
          <w:tcPr>
            <w:tcW w:w="0" w:type="auto"/>
            <w:gridSpan w:val="3"/>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(€3,096,113)</w:t>
            </w:r>
          </w:p>
        </w:tc>
      </w:tr>
      <w:tr w:rsidR="0016590F" w:rsidTr="00D8640C">
        <w:trPr>
          <w:gridAfter w:val="1"/>
          <w:cantSplit/>
          <w:jc w:val="center"/>
        </w:trPr>
        <w:tc>
          <w:tcPr>
            <w:tcW w:w="0" w:type="auto"/>
            <w:gridSpan w:val="2"/>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GroupHeader"/>
              <w:keepNext/>
              <w:keepLines/>
              <w:spacing w:after="280"/>
            </w:pPr>
            <w:r>
              <w:t>Total Long-Term Assets</w:t>
            </w:r>
          </w:p>
        </w:tc>
        <w:tc>
          <w:tcPr>
            <w:tcW w:w="0" w:type="auto"/>
            <w:gridSpan w:val="4"/>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€6,001,349</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€5,925,476</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€5,792,315</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€5,625,736</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€5,414,887</w:t>
            </w:r>
          </w:p>
        </w:tc>
      </w:tr>
      <w:tr w:rsidR="0016590F" w:rsidTr="00D8640C">
        <w:trPr>
          <w:gridAfter w:val="1"/>
          <w:cantSplit/>
          <w:trHeight w:hRule="exact" w:val="20"/>
          <w:jc w:val="center"/>
        </w:trPr>
        <w:tc>
          <w:tcPr>
            <w:tcW w:w="0" w:type="auto"/>
            <w:gridSpan w:val="2"/>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4"/>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r>
      <w:tr w:rsidR="0016590F" w:rsidTr="00D8640C">
        <w:trPr>
          <w:gridAfter w:val="1"/>
          <w:cantSplit/>
          <w:jc w:val="center"/>
        </w:trPr>
        <w:tc>
          <w:tcPr>
            <w:tcW w:w="0" w:type="auto"/>
            <w:gridSpan w:val="2"/>
            <w:tcBorders>
              <w:top w:val="nil"/>
              <w:left w:val="nil"/>
              <w:bottom w:val="single" w:sz="8" w:space="0" w:color="000000"/>
              <w:right w:val="nil"/>
              <w:tl2br w:val="nil"/>
              <w:tr2bl w:val="nil"/>
            </w:tcBorders>
            <w:shd w:val="clear" w:color="auto" w:fill="A8D08D" w:themeFill="accent6" w:themeFillTint="99"/>
            <w:tcMar>
              <w:top w:w="60" w:type="dxa"/>
              <w:left w:w="0" w:type="dxa"/>
              <w:bottom w:w="100" w:type="dxa"/>
              <w:right w:w="0" w:type="dxa"/>
            </w:tcMar>
            <w:vAlign w:val="center"/>
          </w:tcPr>
          <w:p w:rsidR="004B110F" w:rsidRDefault="001B78B5" w:rsidP="00460C2C">
            <w:pPr>
              <w:pStyle w:val="AppendixFinancialTableGroupFooter"/>
              <w:keepNext/>
              <w:keepLines/>
              <w:spacing w:after="280"/>
            </w:pPr>
            <w:r>
              <w:t>Total Assets</w:t>
            </w:r>
          </w:p>
        </w:tc>
        <w:tc>
          <w:tcPr>
            <w:tcW w:w="0" w:type="auto"/>
            <w:gridSpan w:val="4"/>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€108,048,548</w:t>
            </w:r>
          </w:p>
        </w:tc>
        <w:tc>
          <w:tcPr>
            <w:tcW w:w="0" w:type="auto"/>
            <w:gridSpan w:val="3"/>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€125,723,040</w:t>
            </w:r>
          </w:p>
        </w:tc>
        <w:tc>
          <w:tcPr>
            <w:tcW w:w="0" w:type="auto"/>
            <w:gridSpan w:val="3"/>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€163,962,001</w:t>
            </w:r>
          </w:p>
        </w:tc>
        <w:tc>
          <w:tcPr>
            <w:tcW w:w="0" w:type="auto"/>
            <w:gridSpan w:val="3"/>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€240,906,897</w:t>
            </w:r>
          </w:p>
        </w:tc>
        <w:tc>
          <w:tcPr>
            <w:tcW w:w="0" w:type="auto"/>
            <w:gridSpan w:val="3"/>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€441,097,005</w:t>
            </w:r>
          </w:p>
        </w:tc>
      </w:tr>
      <w:tr w:rsidR="0016590F" w:rsidTr="00D8640C">
        <w:trPr>
          <w:gridAfter w:val="1"/>
          <w:cantSplit/>
          <w:trHeight w:hRule="exact" w:val="20"/>
          <w:jc w:val="center"/>
        </w:trPr>
        <w:tc>
          <w:tcPr>
            <w:tcW w:w="0" w:type="auto"/>
            <w:gridSpan w:val="2"/>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4"/>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r>
      <w:tr w:rsidR="0016590F" w:rsidTr="00D8640C">
        <w:trPr>
          <w:gridAfter w:val="1"/>
          <w:cantSplit/>
          <w:jc w:val="center"/>
        </w:trPr>
        <w:tc>
          <w:tcPr>
            <w:tcW w:w="0" w:type="auto"/>
            <w:gridSpan w:val="2"/>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Item"/>
              <w:keepNext/>
              <w:keepLines/>
              <w:spacing w:after="280"/>
            </w:pPr>
            <w:r>
              <w:t>Accounts Payable</w:t>
            </w:r>
          </w:p>
        </w:tc>
        <w:tc>
          <w:tcPr>
            <w:tcW w:w="0" w:type="auto"/>
            <w:gridSpan w:val="4"/>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r>
      <w:tr w:rsidR="0016590F" w:rsidTr="00D8640C">
        <w:trPr>
          <w:gridAfter w:val="1"/>
          <w:cantSplit/>
          <w:jc w:val="center"/>
        </w:trPr>
        <w:tc>
          <w:tcPr>
            <w:tcW w:w="0" w:type="auto"/>
            <w:gridSpan w:val="2"/>
            <w:tcBorders>
              <w:top w:val="nil"/>
              <w:left w:val="nil"/>
              <w:bottom w:val="nil"/>
              <w:right w:val="nil"/>
              <w:tl2br w:val="nil"/>
              <w:tr2bl w:val="nil"/>
            </w:tcBorders>
            <w:shd w:val="clear" w:color="auto" w:fill="ACB9CA" w:themeFill="text2" w:themeFillTint="66"/>
            <w:tcMar>
              <w:top w:w="60" w:type="dxa"/>
              <w:left w:w="0" w:type="dxa"/>
              <w:bottom w:w="100" w:type="dxa"/>
              <w:right w:w="0" w:type="dxa"/>
            </w:tcMar>
            <w:vAlign w:val="center"/>
          </w:tcPr>
          <w:p w:rsidR="004B110F" w:rsidRDefault="001B78B5" w:rsidP="00460C2C">
            <w:pPr>
              <w:pStyle w:val="AppendixFinancialTableItem"/>
              <w:keepNext/>
              <w:keepLines/>
              <w:spacing w:after="280"/>
            </w:pPr>
            <w:r>
              <w:t>Income Taxes Payable</w:t>
            </w:r>
          </w:p>
        </w:tc>
        <w:tc>
          <w:tcPr>
            <w:tcW w:w="0" w:type="auto"/>
            <w:gridSpan w:val="4"/>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€2,563,312</w:t>
            </w:r>
          </w:p>
        </w:tc>
        <w:tc>
          <w:tcPr>
            <w:tcW w:w="0" w:type="auto"/>
            <w:gridSpan w:val="3"/>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€6,934,342</w:t>
            </w:r>
          </w:p>
        </w:tc>
        <w:tc>
          <w:tcPr>
            <w:tcW w:w="0" w:type="auto"/>
            <w:gridSpan w:val="3"/>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€15,485,800</w:t>
            </w:r>
          </w:p>
        </w:tc>
        <w:tc>
          <w:tcPr>
            <w:tcW w:w="0" w:type="auto"/>
            <w:gridSpan w:val="3"/>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€31,736,249</w:t>
            </w:r>
          </w:p>
        </w:tc>
        <w:tc>
          <w:tcPr>
            <w:tcW w:w="0" w:type="auto"/>
            <w:gridSpan w:val="3"/>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€79,571,835</w:t>
            </w:r>
          </w:p>
        </w:tc>
      </w:tr>
      <w:tr w:rsidR="0016590F" w:rsidTr="00D8640C">
        <w:trPr>
          <w:gridAfter w:val="1"/>
          <w:cantSplit/>
          <w:jc w:val="center"/>
        </w:trPr>
        <w:tc>
          <w:tcPr>
            <w:tcW w:w="0" w:type="auto"/>
            <w:gridSpan w:val="2"/>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Item"/>
              <w:keepNext/>
              <w:keepLines/>
              <w:spacing w:after="280"/>
            </w:pPr>
            <w:r>
              <w:t>Sales Taxes Payable</w:t>
            </w:r>
          </w:p>
        </w:tc>
        <w:tc>
          <w:tcPr>
            <w:tcW w:w="0" w:type="auto"/>
            <w:gridSpan w:val="4"/>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€724,800</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€1,150,198</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€2,078,357</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€3,834,058</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€8,412,315</w:t>
            </w:r>
          </w:p>
        </w:tc>
      </w:tr>
      <w:tr w:rsidR="0016590F" w:rsidTr="00D8640C">
        <w:trPr>
          <w:gridAfter w:val="1"/>
          <w:cantSplit/>
          <w:jc w:val="center"/>
        </w:trPr>
        <w:tc>
          <w:tcPr>
            <w:tcW w:w="0" w:type="auto"/>
            <w:gridSpan w:val="2"/>
            <w:tcBorders>
              <w:top w:val="nil"/>
              <w:left w:val="nil"/>
              <w:bottom w:val="nil"/>
              <w:right w:val="nil"/>
              <w:tl2br w:val="nil"/>
              <w:tr2bl w:val="nil"/>
            </w:tcBorders>
            <w:shd w:val="clear" w:color="auto" w:fill="ACB9CA" w:themeFill="text2" w:themeFillTint="66"/>
            <w:tcMar>
              <w:top w:w="60" w:type="dxa"/>
              <w:left w:w="0" w:type="dxa"/>
              <w:bottom w:w="100" w:type="dxa"/>
              <w:right w:w="0" w:type="dxa"/>
            </w:tcMar>
            <w:vAlign w:val="center"/>
          </w:tcPr>
          <w:p w:rsidR="004B110F" w:rsidRDefault="001B78B5" w:rsidP="00460C2C">
            <w:pPr>
              <w:pStyle w:val="AppendixFinancialTableItem"/>
              <w:keepNext/>
              <w:keepLines/>
              <w:spacing w:after="280"/>
            </w:pPr>
            <w:r>
              <w:t>Short-Term Debt</w:t>
            </w:r>
          </w:p>
        </w:tc>
        <w:tc>
          <w:tcPr>
            <w:tcW w:w="0" w:type="auto"/>
            <w:gridSpan w:val="4"/>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3"/>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3"/>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3"/>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3"/>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r>
      <w:tr w:rsidR="0016590F" w:rsidTr="00D8640C">
        <w:trPr>
          <w:gridAfter w:val="1"/>
          <w:cantSplit/>
          <w:jc w:val="center"/>
        </w:trPr>
        <w:tc>
          <w:tcPr>
            <w:tcW w:w="0" w:type="auto"/>
            <w:gridSpan w:val="2"/>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Item"/>
              <w:keepNext/>
              <w:keepLines/>
              <w:spacing w:after="280"/>
            </w:pPr>
            <w:r>
              <w:t>Prepaid Revenue</w:t>
            </w:r>
          </w:p>
        </w:tc>
        <w:tc>
          <w:tcPr>
            <w:tcW w:w="0" w:type="auto"/>
            <w:gridSpan w:val="4"/>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r>
      <w:tr w:rsidR="0016590F" w:rsidTr="00D8640C">
        <w:trPr>
          <w:gridAfter w:val="1"/>
          <w:cantSplit/>
          <w:jc w:val="center"/>
        </w:trPr>
        <w:tc>
          <w:tcPr>
            <w:tcW w:w="0" w:type="auto"/>
            <w:gridSpan w:val="2"/>
            <w:tcBorders>
              <w:top w:val="nil"/>
              <w:left w:val="nil"/>
              <w:bottom w:val="nil"/>
              <w:right w:val="nil"/>
              <w:tl2br w:val="nil"/>
              <w:tr2bl w:val="nil"/>
            </w:tcBorders>
            <w:shd w:val="clear" w:color="auto" w:fill="FFE599" w:themeFill="accent4" w:themeFillTint="66"/>
            <w:tcMar>
              <w:top w:w="60" w:type="dxa"/>
              <w:left w:w="0" w:type="dxa"/>
              <w:bottom w:w="100" w:type="dxa"/>
              <w:right w:w="0" w:type="dxa"/>
            </w:tcMar>
            <w:vAlign w:val="center"/>
          </w:tcPr>
          <w:p w:rsidR="004B110F" w:rsidRDefault="001B78B5" w:rsidP="00460C2C">
            <w:pPr>
              <w:pStyle w:val="AppendixFinancialTableGroupHeader"/>
              <w:keepNext/>
              <w:keepLines/>
              <w:spacing w:after="280"/>
            </w:pPr>
            <w:r>
              <w:t>Total Current Liabilities</w:t>
            </w:r>
          </w:p>
        </w:tc>
        <w:tc>
          <w:tcPr>
            <w:tcW w:w="0" w:type="auto"/>
            <w:gridSpan w:val="4"/>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€3,288,112</w:t>
            </w:r>
          </w:p>
        </w:tc>
        <w:tc>
          <w:tcPr>
            <w:tcW w:w="0" w:type="auto"/>
            <w:gridSpan w:val="3"/>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€8,084,540</w:t>
            </w:r>
          </w:p>
        </w:tc>
        <w:tc>
          <w:tcPr>
            <w:tcW w:w="0" w:type="auto"/>
            <w:gridSpan w:val="3"/>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€17,564,157</w:t>
            </w:r>
          </w:p>
        </w:tc>
        <w:tc>
          <w:tcPr>
            <w:tcW w:w="0" w:type="auto"/>
            <w:gridSpan w:val="3"/>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€35,570,307</w:t>
            </w:r>
          </w:p>
        </w:tc>
        <w:tc>
          <w:tcPr>
            <w:tcW w:w="0" w:type="auto"/>
            <w:gridSpan w:val="3"/>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GroupHeader"/>
              <w:keepNext/>
              <w:keepLines/>
              <w:spacing w:after="280"/>
            </w:pPr>
            <w:r>
              <w:t>€87,984,150</w:t>
            </w:r>
          </w:p>
        </w:tc>
      </w:tr>
      <w:tr w:rsidR="0016590F" w:rsidTr="00D8640C">
        <w:trPr>
          <w:gridAfter w:val="1"/>
          <w:cantSplit/>
          <w:jc w:val="center"/>
        </w:trPr>
        <w:tc>
          <w:tcPr>
            <w:tcW w:w="0" w:type="auto"/>
            <w:gridSpan w:val="2"/>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Item"/>
              <w:keepNext/>
              <w:keepLines/>
              <w:spacing w:after="280"/>
            </w:pPr>
            <w:r>
              <w:t>Long-Term Debt</w:t>
            </w:r>
          </w:p>
        </w:tc>
        <w:tc>
          <w:tcPr>
            <w:tcW w:w="0" w:type="auto"/>
            <w:gridSpan w:val="4"/>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r>
      <w:tr w:rsidR="0016590F" w:rsidTr="00D8640C">
        <w:trPr>
          <w:gridAfter w:val="1"/>
          <w:cantSplit/>
          <w:trHeight w:hRule="exact" w:val="20"/>
          <w:jc w:val="center"/>
        </w:trPr>
        <w:tc>
          <w:tcPr>
            <w:tcW w:w="0" w:type="auto"/>
            <w:gridSpan w:val="2"/>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4"/>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r>
      <w:tr w:rsidR="0016590F" w:rsidTr="00D8640C">
        <w:trPr>
          <w:gridAfter w:val="1"/>
          <w:cantSplit/>
          <w:jc w:val="center"/>
        </w:trPr>
        <w:tc>
          <w:tcPr>
            <w:tcW w:w="0" w:type="auto"/>
            <w:gridSpan w:val="2"/>
            <w:tcBorders>
              <w:top w:val="nil"/>
              <w:left w:val="nil"/>
              <w:bottom w:val="single" w:sz="8" w:space="0" w:color="000000"/>
              <w:right w:val="nil"/>
              <w:tl2br w:val="nil"/>
              <w:tr2bl w:val="nil"/>
            </w:tcBorders>
            <w:shd w:val="clear" w:color="auto" w:fill="A8D08D" w:themeFill="accent6" w:themeFillTint="99"/>
            <w:tcMar>
              <w:top w:w="60" w:type="dxa"/>
              <w:left w:w="0" w:type="dxa"/>
              <w:bottom w:w="100" w:type="dxa"/>
              <w:right w:w="0" w:type="dxa"/>
            </w:tcMar>
            <w:vAlign w:val="center"/>
          </w:tcPr>
          <w:p w:rsidR="004B110F" w:rsidRDefault="001B78B5" w:rsidP="00460C2C">
            <w:pPr>
              <w:pStyle w:val="AppendixFinancialTableGroupFooter"/>
              <w:keepNext/>
              <w:keepLines/>
              <w:spacing w:after="280"/>
            </w:pPr>
            <w:r>
              <w:t>Total Liabilities</w:t>
            </w:r>
          </w:p>
        </w:tc>
        <w:tc>
          <w:tcPr>
            <w:tcW w:w="0" w:type="auto"/>
            <w:gridSpan w:val="4"/>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€3,288,112</w:t>
            </w:r>
          </w:p>
        </w:tc>
        <w:tc>
          <w:tcPr>
            <w:tcW w:w="0" w:type="auto"/>
            <w:gridSpan w:val="3"/>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€8,084,540</w:t>
            </w:r>
          </w:p>
        </w:tc>
        <w:tc>
          <w:tcPr>
            <w:tcW w:w="0" w:type="auto"/>
            <w:gridSpan w:val="3"/>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€17,564,157</w:t>
            </w:r>
          </w:p>
        </w:tc>
        <w:tc>
          <w:tcPr>
            <w:tcW w:w="0" w:type="auto"/>
            <w:gridSpan w:val="3"/>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€35,570,307</w:t>
            </w:r>
          </w:p>
        </w:tc>
        <w:tc>
          <w:tcPr>
            <w:tcW w:w="0" w:type="auto"/>
            <w:gridSpan w:val="3"/>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€87,984,150</w:t>
            </w:r>
          </w:p>
        </w:tc>
      </w:tr>
      <w:tr w:rsidR="0016590F" w:rsidTr="00D8640C">
        <w:trPr>
          <w:gridAfter w:val="1"/>
          <w:cantSplit/>
          <w:trHeight w:hRule="exact" w:val="20"/>
          <w:jc w:val="center"/>
        </w:trPr>
        <w:tc>
          <w:tcPr>
            <w:tcW w:w="0" w:type="auto"/>
            <w:gridSpan w:val="2"/>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4"/>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r>
      <w:tr w:rsidR="0016590F" w:rsidTr="00D8640C">
        <w:trPr>
          <w:gridAfter w:val="1"/>
          <w:cantSplit/>
          <w:jc w:val="center"/>
        </w:trPr>
        <w:tc>
          <w:tcPr>
            <w:tcW w:w="0" w:type="auto"/>
            <w:gridSpan w:val="2"/>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Item"/>
              <w:keepNext/>
              <w:keepLines/>
              <w:spacing w:after="280"/>
            </w:pPr>
            <w:r>
              <w:t>Paid-In Capital</w:t>
            </w:r>
          </w:p>
        </w:tc>
        <w:tc>
          <w:tcPr>
            <w:tcW w:w="0" w:type="auto"/>
            <w:gridSpan w:val="4"/>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€100,000,000</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€100,000,000</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€100,000,000</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€100,000,000</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€100,000,000</w:t>
            </w:r>
          </w:p>
        </w:tc>
      </w:tr>
      <w:tr w:rsidR="0016590F" w:rsidTr="00D8640C">
        <w:trPr>
          <w:gridAfter w:val="1"/>
          <w:cantSplit/>
          <w:jc w:val="center"/>
        </w:trPr>
        <w:tc>
          <w:tcPr>
            <w:tcW w:w="0" w:type="auto"/>
            <w:gridSpan w:val="2"/>
            <w:tcBorders>
              <w:top w:val="nil"/>
              <w:left w:val="nil"/>
              <w:bottom w:val="nil"/>
              <w:right w:val="nil"/>
              <w:tl2br w:val="nil"/>
              <w:tr2bl w:val="nil"/>
            </w:tcBorders>
            <w:shd w:val="clear" w:color="auto" w:fill="ACB9CA" w:themeFill="text2" w:themeFillTint="66"/>
            <w:tcMar>
              <w:top w:w="60" w:type="dxa"/>
              <w:left w:w="0" w:type="dxa"/>
              <w:bottom w:w="100" w:type="dxa"/>
              <w:right w:w="0" w:type="dxa"/>
            </w:tcMar>
            <w:vAlign w:val="center"/>
          </w:tcPr>
          <w:p w:rsidR="004B110F" w:rsidRDefault="001B78B5" w:rsidP="00460C2C">
            <w:pPr>
              <w:pStyle w:val="AppendixFinancialTableItem"/>
              <w:keepNext/>
              <w:keepLines/>
              <w:spacing w:after="280"/>
            </w:pPr>
            <w:r>
              <w:t>Retained Earnings</w:t>
            </w:r>
          </w:p>
        </w:tc>
        <w:tc>
          <w:tcPr>
            <w:tcW w:w="0" w:type="auto"/>
            <w:gridSpan w:val="4"/>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4B110F" w:rsidP="00460C2C">
            <w:pPr>
              <w:pStyle w:val="AppendixFinancialTableItem"/>
              <w:keepNext/>
              <w:keepLines/>
              <w:spacing w:after="280"/>
            </w:pPr>
          </w:p>
        </w:tc>
        <w:tc>
          <w:tcPr>
            <w:tcW w:w="0" w:type="auto"/>
            <w:gridSpan w:val="3"/>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€4,760,436</w:t>
            </w:r>
          </w:p>
        </w:tc>
        <w:tc>
          <w:tcPr>
            <w:tcW w:w="0" w:type="auto"/>
            <w:gridSpan w:val="3"/>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€17,638,500</w:t>
            </w:r>
          </w:p>
        </w:tc>
        <w:tc>
          <w:tcPr>
            <w:tcW w:w="0" w:type="auto"/>
            <w:gridSpan w:val="3"/>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€46,397,844</w:t>
            </w:r>
          </w:p>
        </w:tc>
        <w:tc>
          <w:tcPr>
            <w:tcW w:w="0" w:type="auto"/>
            <w:gridSpan w:val="3"/>
            <w:tcBorders>
              <w:top w:val="nil"/>
              <w:left w:val="nil"/>
              <w:bottom w:val="nil"/>
              <w:right w:val="nil"/>
              <w:tl2br w:val="nil"/>
              <w:tr2bl w:val="nil"/>
            </w:tcBorders>
            <w:shd w:val="clear" w:color="auto" w:fill="ACB9CA" w:themeFill="text2"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€105,336,590</w:t>
            </w:r>
          </w:p>
        </w:tc>
      </w:tr>
      <w:tr w:rsidR="0016590F" w:rsidTr="00D8640C">
        <w:trPr>
          <w:gridAfter w:val="1"/>
          <w:cantSplit/>
          <w:jc w:val="center"/>
        </w:trPr>
        <w:tc>
          <w:tcPr>
            <w:tcW w:w="0" w:type="auto"/>
            <w:gridSpan w:val="2"/>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Item"/>
              <w:keepNext/>
              <w:keepLines/>
              <w:spacing w:after="280"/>
            </w:pPr>
            <w:r>
              <w:t>Earnings</w:t>
            </w:r>
          </w:p>
        </w:tc>
        <w:tc>
          <w:tcPr>
            <w:tcW w:w="0" w:type="auto"/>
            <w:gridSpan w:val="4"/>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€4,760,436</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€12,878,065</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€28,759,343</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€58,938,746</w:t>
            </w: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€147,776,265</w:t>
            </w:r>
          </w:p>
        </w:tc>
      </w:tr>
      <w:tr w:rsidR="0016590F" w:rsidTr="00D8640C">
        <w:trPr>
          <w:gridAfter w:val="1"/>
          <w:cantSplit/>
          <w:jc w:val="center"/>
        </w:trPr>
        <w:tc>
          <w:tcPr>
            <w:tcW w:w="0" w:type="auto"/>
            <w:gridSpan w:val="2"/>
            <w:tcBorders>
              <w:top w:val="nil"/>
              <w:left w:val="nil"/>
              <w:bottom w:val="single" w:sz="8" w:space="0" w:color="000000"/>
              <w:right w:val="nil"/>
              <w:tl2br w:val="nil"/>
              <w:tr2bl w:val="nil"/>
            </w:tcBorders>
            <w:shd w:val="clear" w:color="auto" w:fill="FFD966" w:themeFill="accent4" w:themeFillTint="99"/>
            <w:tcMar>
              <w:top w:w="60" w:type="dxa"/>
              <w:left w:w="0" w:type="dxa"/>
              <w:bottom w:w="100" w:type="dxa"/>
              <w:right w:w="0" w:type="dxa"/>
            </w:tcMar>
            <w:vAlign w:val="center"/>
          </w:tcPr>
          <w:p w:rsidR="004B110F" w:rsidRDefault="001B78B5" w:rsidP="00460C2C">
            <w:pPr>
              <w:pStyle w:val="AppendixFinancialTableGroupFooter"/>
              <w:keepNext/>
              <w:keepLines/>
              <w:spacing w:after="280"/>
            </w:pPr>
            <w:r>
              <w:t>Total Owner's Equity</w:t>
            </w:r>
          </w:p>
        </w:tc>
        <w:tc>
          <w:tcPr>
            <w:tcW w:w="0" w:type="auto"/>
            <w:gridSpan w:val="4"/>
            <w:tcBorders>
              <w:top w:val="nil"/>
              <w:left w:val="nil"/>
              <w:bottom w:val="single" w:sz="8" w:space="0" w:color="000000"/>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€104,760,436</w:t>
            </w:r>
          </w:p>
        </w:tc>
        <w:tc>
          <w:tcPr>
            <w:tcW w:w="0" w:type="auto"/>
            <w:gridSpan w:val="3"/>
            <w:tcBorders>
              <w:top w:val="nil"/>
              <w:left w:val="nil"/>
              <w:bottom w:val="single" w:sz="8" w:space="0" w:color="000000"/>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€117,638,500</w:t>
            </w:r>
          </w:p>
        </w:tc>
        <w:tc>
          <w:tcPr>
            <w:tcW w:w="0" w:type="auto"/>
            <w:gridSpan w:val="3"/>
            <w:tcBorders>
              <w:top w:val="nil"/>
              <w:left w:val="nil"/>
              <w:bottom w:val="single" w:sz="8" w:space="0" w:color="000000"/>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€146,397,844</w:t>
            </w:r>
          </w:p>
        </w:tc>
        <w:tc>
          <w:tcPr>
            <w:tcW w:w="0" w:type="auto"/>
            <w:gridSpan w:val="3"/>
            <w:tcBorders>
              <w:top w:val="nil"/>
              <w:left w:val="nil"/>
              <w:bottom w:val="single" w:sz="8" w:space="0" w:color="000000"/>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€205,336,590</w:t>
            </w:r>
          </w:p>
        </w:tc>
        <w:tc>
          <w:tcPr>
            <w:tcW w:w="0" w:type="auto"/>
            <w:gridSpan w:val="3"/>
            <w:tcBorders>
              <w:top w:val="nil"/>
              <w:left w:val="nil"/>
              <w:bottom w:val="single" w:sz="8" w:space="0" w:color="000000"/>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€353,112,855</w:t>
            </w:r>
          </w:p>
        </w:tc>
      </w:tr>
      <w:tr w:rsidR="0016590F" w:rsidTr="00D8640C">
        <w:trPr>
          <w:gridAfter w:val="1"/>
          <w:cantSplit/>
          <w:trHeight w:hRule="exact" w:val="20"/>
          <w:jc w:val="center"/>
        </w:trPr>
        <w:tc>
          <w:tcPr>
            <w:tcW w:w="0" w:type="auto"/>
            <w:gridSpan w:val="2"/>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4"/>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c>
          <w:tcPr>
            <w:tcW w:w="0" w:type="auto"/>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4B110F" w:rsidP="00460C2C">
            <w:pPr>
              <w:pStyle w:val="AppendixFinancialTableSpacer"/>
              <w:keepNext/>
              <w:keepLines/>
              <w:spacing w:after="280" w:afterAutospacing="1"/>
            </w:pPr>
          </w:p>
        </w:tc>
      </w:tr>
      <w:tr w:rsidR="0016590F" w:rsidTr="00D8640C">
        <w:trPr>
          <w:gridAfter w:val="1"/>
          <w:cantSplit/>
          <w:jc w:val="center"/>
        </w:trPr>
        <w:tc>
          <w:tcPr>
            <w:tcW w:w="0" w:type="auto"/>
            <w:gridSpan w:val="2"/>
            <w:tcBorders>
              <w:top w:val="nil"/>
              <w:left w:val="nil"/>
              <w:bottom w:val="single" w:sz="8" w:space="0" w:color="000000"/>
              <w:right w:val="nil"/>
              <w:tl2br w:val="nil"/>
              <w:tr2bl w:val="nil"/>
            </w:tcBorders>
            <w:shd w:val="clear" w:color="auto" w:fill="A8D08D" w:themeFill="accent6" w:themeFillTint="99"/>
            <w:tcMar>
              <w:top w:w="60" w:type="dxa"/>
              <w:left w:w="0" w:type="dxa"/>
              <w:bottom w:w="100" w:type="dxa"/>
              <w:right w:w="0" w:type="dxa"/>
            </w:tcMar>
            <w:vAlign w:val="center"/>
          </w:tcPr>
          <w:p w:rsidR="004B110F" w:rsidRDefault="001B78B5" w:rsidP="00460C2C">
            <w:pPr>
              <w:pStyle w:val="AppendixFinancialTableGroupFooter"/>
              <w:keepNext/>
              <w:keepLines/>
              <w:spacing w:after="280"/>
            </w:pPr>
            <w:r>
              <w:t>Total Liabilities &amp; Equity</w:t>
            </w:r>
          </w:p>
        </w:tc>
        <w:tc>
          <w:tcPr>
            <w:tcW w:w="0" w:type="auto"/>
            <w:gridSpan w:val="4"/>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€108,048,548</w:t>
            </w:r>
          </w:p>
        </w:tc>
        <w:tc>
          <w:tcPr>
            <w:tcW w:w="0" w:type="auto"/>
            <w:gridSpan w:val="3"/>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€125,723,040</w:t>
            </w:r>
          </w:p>
        </w:tc>
        <w:tc>
          <w:tcPr>
            <w:tcW w:w="0" w:type="auto"/>
            <w:gridSpan w:val="3"/>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€163,962,001</w:t>
            </w:r>
          </w:p>
        </w:tc>
        <w:tc>
          <w:tcPr>
            <w:tcW w:w="0" w:type="auto"/>
            <w:gridSpan w:val="3"/>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€240,906,897</w:t>
            </w:r>
          </w:p>
        </w:tc>
        <w:tc>
          <w:tcPr>
            <w:tcW w:w="0" w:type="auto"/>
            <w:gridSpan w:val="3"/>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€441,097,005</w:t>
            </w:r>
          </w:p>
        </w:tc>
      </w:tr>
    </w:tbl>
    <w:p w:rsidR="00D45D03" w:rsidRDefault="00D45D03" w:rsidP="00460C2C">
      <w:pPr>
        <w:pStyle w:val="Titolo3"/>
        <w:spacing w:after="280"/>
        <w:rPr>
          <w:sz w:val="32"/>
          <w:szCs w:val="32"/>
        </w:rPr>
      </w:pPr>
    </w:p>
    <w:p w:rsidR="00C10D29" w:rsidRDefault="00D8640C" w:rsidP="00460C2C">
      <w:pPr>
        <w:pStyle w:val="Titolo2"/>
        <w:spacing w:before="100" w:after="100"/>
        <w:rPr>
          <w:rFonts w:ascii="Franklin Gothic Demi" w:eastAsia="Times New Roman" w:hAnsi="Franklin Gothic Demi" w:cs="Times New Roman"/>
          <w:b w:val="0"/>
          <w:bCs w:val="0"/>
          <w:iCs w:val="0"/>
          <w:color w:val="002060"/>
          <w:spacing w:val="26"/>
          <w:szCs w:val="36"/>
        </w:rPr>
      </w:pPr>
      <w:bookmarkStart w:id="103" w:name="_Toc523440010"/>
      <w:r>
        <w:rPr>
          <w:rFonts w:ascii="Franklin Gothic Demi" w:eastAsia="Times New Roman" w:hAnsi="Franklin Gothic Demi" w:cs="Times New Roman"/>
          <w:b w:val="0"/>
          <w:bCs w:val="0"/>
          <w:iCs w:val="0"/>
          <w:color w:val="002060"/>
          <w:spacing w:val="26"/>
          <w:szCs w:val="36"/>
        </w:rPr>
        <w:br/>
      </w:r>
    </w:p>
    <w:p w:rsidR="004B110F" w:rsidRPr="003C15AA" w:rsidRDefault="001B78B5" w:rsidP="00460C2C">
      <w:pPr>
        <w:pStyle w:val="Titolo2"/>
        <w:spacing w:before="100" w:after="100"/>
        <w:rPr>
          <w:rFonts w:ascii="Franklin Gothic Demi" w:eastAsia="Times New Roman" w:hAnsi="Franklin Gothic Demi" w:cs="Times New Roman"/>
          <w:b w:val="0"/>
          <w:bCs w:val="0"/>
          <w:iCs w:val="0"/>
          <w:color w:val="002060"/>
          <w:spacing w:val="26"/>
          <w:szCs w:val="36"/>
        </w:rPr>
      </w:pPr>
      <w:r w:rsidRPr="003C15AA">
        <w:rPr>
          <w:rFonts w:ascii="Franklin Gothic Demi" w:eastAsia="Times New Roman" w:hAnsi="Franklin Gothic Demi" w:cs="Times New Roman"/>
          <w:b w:val="0"/>
          <w:bCs w:val="0"/>
          <w:iCs w:val="0"/>
          <w:color w:val="002060"/>
          <w:spacing w:val="26"/>
          <w:szCs w:val="36"/>
        </w:rPr>
        <w:t>Cash Flow Statement (With Monthly Detail)</w:t>
      </w:r>
      <w:bookmarkEnd w:id="103"/>
    </w:p>
    <w:tbl>
      <w:tblPr>
        <w:tblW w:w="13537" w:type="dxa"/>
        <w:jc w:val="center"/>
        <w:tblLayout w:type="fixed"/>
        <w:tblLook w:val="04A0" w:firstRow="1" w:lastRow="0" w:firstColumn="1" w:lastColumn="0" w:noHBand="0" w:noVBand="1"/>
      </w:tblPr>
      <w:tblGrid>
        <w:gridCol w:w="1573"/>
        <w:gridCol w:w="587"/>
        <w:gridCol w:w="410"/>
        <w:gridCol w:w="997"/>
        <w:gridCol w:w="753"/>
        <w:gridCol w:w="244"/>
        <w:gridCol w:w="997"/>
        <w:gridCol w:w="919"/>
        <w:gridCol w:w="78"/>
        <w:gridCol w:w="997"/>
        <w:gridCol w:w="997"/>
        <w:gridCol w:w="88"/>
        <w:gridCol w:w="909"/>
        <w:gridCol w:w="997"/>
        <w:gridCol w:w="254"/>
        <w:gridCol w:w="743"/>
        <w:gridCol w:w="997"/>
        <w:gridCol w:w="420"/>
        <w:gridCol w:w="577"/>
      </w:tblGrid>
      <w:tr w:rsidR="0016590F" w:rsidTr="004569D1">
        <w:trPr>
          <w:cantSplit/>
          <w:jc w:val="center"/>
        </w:trPr>
        <w:tc>
          <w:tcPr>
            <w:tcW w:w="1573" w:type="dxa"/>
            <w:tcBorders>
              <w:top w:val="nil"/>
              <w:left w:val="nil"/>
              <w:bottom w:val="single" w:sz="8" w:space="0" w:color="000000"/>
              <w:right w:val="nil"/>
              <w:tl2br w:val="nil"/>
              <w:tr2bl w:val="nil"/>
            </w:tcBorders>
            <w:shd w:val="clear" w:color="auto" w:fill="018BB3"/>
            <w:tcMar>
              <w:top w:w="60" w:type="dxa"/>
              <w:left w:w="0" w:type="dxa"/>
              <w:bottom w:w="100" w:type="dxa"/>
              <w:right w:w="0" w:type="dxa"/>
            </w:tcMar>
            <w:vAlign w:val="center"/>
          </w:tcPr>
          <w:p w:rsidR="004B110F" w:rsidRDefault="001B78B5" w:rsidP="00460C2C">
            <w:pPr>
              <w:pStyle w:val="AppendixFinancialTableHeader"/>
              <w:keepNext/>
              <w:keepLines/>
              <w:spacing w:after="280"/>
            </w:pPr>
            <w:r>
              <w:lastRenderedPageBreak/>
              <w:t>2019</w:t>
            </w:r>
          </w:p>
        </w:tc>
        <w:tc>
          <w:tcPr>
            <w:tcW w:w="997" w:type="dxa"/>
            <w:gridSpan w:val="2"/>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Jan '19</w:t>
            </w:r>
          </w:p>
        </w:tc>
        <w:tc>
          <w:tcPr>
            <w:tcW w:w="997" w:type="dxa"/>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Feb '19</w:t>
            </w:r>
          </w:p>
        </w:tc>
        <w:tc>
          <w:tcPr>
            <w:tcW w:w="997" w:type="dxa"/>
            <w:gridSpan w:val="2"/>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Mar '19</w:t>
            </w:r>
          </w:p>
        </w:tc>
        <w:tc>
          <w:tcPr>
            <w:tcW w:w="997" w:type="dxa"/>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Apr '19</w:t>
            </w:r>
          </w:p>
        </w:tc>
        <w:tc>
          <w:tcPr>
            <w:tcW w:w="997" w:type="dxa"/>
            <w:gridSpan w:val="2"/>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May '19</w:t>
            </w:r>
          </w:p>
        </w:tc>
        <w:tc>
          <w:tcPr>
            <w:tcW w:w="997" w:type="dxa"/>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June '19</w:t>
            </w:r>
          </w:p>
        </w:tc>
        <w:tc>
          <w:tcPr>
            <w:tcW w:w="997" w:type="dxa"/>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July '19</w:t>
            </w:r>
          </w:p>
        </w:tc>
        <w:tc>
          <w:tcPr>
            <w:tcW w:w="997" w:type="dxa"/>
            <w:gridSpan w:val="2"/>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Aug '19</w:t>
            </w:r>
          </w:p>
        </w:tc>
        <w:tc>
          <w:tcPr>
            <w:tcW w:w="997" w:type="dxa"/>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Sept '19</w:t>
            </w:r>
          </w:p>
        </w:tc>
        <w:tc>
          <w:tcPr>
            <w:tcW w:w="997" w:type="dxa"/>
            <w:gridSpan w:val="2"/>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Oct '19</w:t>
            </w:r>
          </w:p>
        </w:tc>
        <w:tc>
          <w:tcPr>
            <w:tcW w:w="997" w:type="dxa"/>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Nov '19</w:t>
            </w:r>
          </w:p>
        </w:tc>
        <w:tc>
          <w:tcPr>
            <w:tcW w:w="997" w:type="dxa"/>
            <w:gridSpan w:val="2"/>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Dec '19</w:t>
            </w:r>
          </w:p>
        </w:tc>
      </w:tr>
      <w:tr w:rsidR="0016590F" w:rsidTr="004569D1">
        <w:trPr>
          <w:cantSplit/>
          <w:jc w:val="center"/>
        </w:trPr>
        <w:tc>
          <w:tcPr>
            <w:tcW w:w="1573" w:type="dxa"/>
            <w:tcBorders>
              <w:top w:val="nil"/>
              <w:left w:val="nil"/>
              <w:bottom w:val="nil"/>
              <w:right w:val="nil"/>
              <w:tl2br w:val="nil"/>
              <w:tr2bl w:val="nil"/>
            </w:tcBorders>
            <w:shd w:val="clear" w:color="auto" w:fill="B4C6E7" w:themeFill="accent1" w:themeFillTint="66"/>
            <w:tcMar>
              <w:top w:w="60" w:type="dxa"/>
              <w:left w:w="0" w:type="dxa"/>
              <w:bottom w:w="100" w:type="dxa"/>
              <w:right w:w="0" w:type="dxa"/>
            </w:tcMar>
            <w:vAlign w:val="center"/>
          </w:tcPr>
          <w:p w:rsidR="004B110F" w:rsidRDefault="001B78B5" w:rsidP="00460C2C">
            <w:pPr>
              <w:pStyle w:val="AppendixFinancialTableGroupHeader"/>
              <w:keepNext/>
              <w:keepLines/>
              <w:spacing w:after="280"/>
            </w:pPr>
            <w:r>
              <w:t>Net Cash Flow from Operations</w:t>
            </w:r>
          </w:p>
        </w:tc>
        <w:tc>
          <w:tcPr>
            <w:tcW w:w="997" w:type="dxa"/>
            <w:gridSpan w:val="2"/>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997" w:type="dxa"/>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997" w:type="dxa"/>
            <w:gridSpan w:val="2"/>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997" w:type="dxa"/>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997" w:type="dxa"/>
            <w:gridSpan w:val="2"/>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997" w:type="dxa"/>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997" w:type="dxa"/>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997" w:type="dxa"/>
            <w:gridSpan w:val="2"/>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997" w:type="dxa"/>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997" w:type="dxa"/>
            <w:gridSpan w:val="2"/>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997" w:type="dxa"/>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997" w:type="dxa"/>
            <w:gridSpan w:val="2"/>
            <w:tcBorders>
              <w:top w:val="nil"/>
              <w:left w:val="nil"/>
              <w:bottom w:val="nil"/>
              <w:right w:val="nil"/>
              <w:tl2br w:val="nil"/>
              <w:tr2bl w:val="nil"/>
            </w:tcBorders>
            <w:shd w:val="clear" w:color="auto" w:fill="B4C6E7" w:themeFill="accent1"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r>
      <w:tr w:rsidR="0016590F" w:rsidTr="004569D1">
        <w:trPr>
          <w:cantSplit/>
          <w:jc w:val="center"/>
        </w:trPr>
        <w:tc>
          <w:tcPr>
            <w:tcW w:w="1573" w:type="dxa"/>
            <w:tcBorders>
              <w:top w:val="nil"/>
              <w:left w:val="nil"/>
              <w:bottom w:val="nil"/>
              <w:right w:val="nil"/>
              <w:tl2br w:val="nil"/>
              <w:tr2bl w:val="nil"/>
            </w:tcBorders>
            <w:shd w:val="clear" w:color="auto" w:fill="auto"/>
            <w:tcMar>
              <w:top w:w="60" w:type="dxa"/>
              <w:left w:w="160" w:type="dxa"/>
              <w:bottom w:w="100" w:type="dxa"/>
              <w:right w:w="0" w:type="dxa"/>
            </w:tcMar>
            <w:vAlign w:val="center"/>
          </w:tcPr>
          <w:p w:rsidR="004B110F" w:rsidRDefault="001B78B5" w:rsidP="00460C2C">
            <w:pPr>
              <w:pStyle w:val="AppendixFinancialTableGroupItem"/>
              <w:keepNext/>
              <w:keepLines/>
              <w:spacing w:after="280"/>
            </w:pPr>
            <w:r>
              <w:t>Net Profit</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€240,714</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€290,405</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€314,925</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€347,093</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€374,165</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€376,477</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€395,585</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€425,519</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€408,826</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€492,940</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€524,202</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€569,585</w:t>
            </w:r>
          </w:p>
        </w:tc>
      </w:tr>
      <w:tr w:rsidR="0016590F" w:rsidTr="004569D1">
        <w:trPr>
          <w:cantSplit/>
          <w:jc w:val="center"/>
        </w:trPr>
        <w:tc>
          <w:tcPr>
            <w:tcW w:w="1573" w:type="dxa"/>
            <w:tcBorders>
              <w:top w:val="nil"/>
              <w:left w:val="nil"/>
              <w:bottom w:val="nil"/>
              <w:right w:val="nil"/>
              <w:tl2br w:val="nil"/>
              <w:tr2bl w:val="nil"/>
            </w:tcBorders>
            <w:shd w:val="clear" w:color="auto" w:fill="D0CECE" w:themeFill="background2" w:themeFillShade="E6"/>
            <w:tcMar>
              <w:top w:w="60" w:type="dxa"/>
              <w:left w:w="160" w:type="dxa"/>
              <w:bottom w:w="100" w:type="dxa"/>
              <w:right w:w="0" w:type="dxa"/>
            </w:tcMar>
            <w:vAlign w:val="center"/>
          </w:tcPr>
          <w:p w:rsidR="004B110F" w:rsidRDefault="001B78B5" w:rsidP="00460C2C">
            <w:pPr>
              <w:pStyle w:val="AppendixFinancialTableGroupItem"/>
              <w:keepNext/>
              <w:keepLines/>
              <w:spacing w:after="280"/>
            </w:pPr>
            <w:r>
              <w:t>Depreciation &amp; Amortization</w:t>
            </w: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€41,746</w:t>
            </w: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€41,746</w:t>
            </w: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€41,885</w:t>
            </w: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€41,921</w:t>
            </w: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€42,004</w:t>
            </w: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€42,004</w:t>
            </w: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€42,123</w:t>
            </w: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€42,123</w:t>
            </w: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€42,206</w:t>
            </w: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€42,242</w:t>
            </w: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€42,325</w:t>
            </w: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€42,325</w:t>
            </w:r>
          </w:p>
        </w:tc>
      </w:tr>
      <w:tr w:rsidR="0016590F" w:rsidTr="004569D1">
        <w:trPr>
          <w:cantSplit/>
          <w:jc w:val="center"/>
        </w:trPr>
        <w:tc>
          <w:tcPr>
            <w:tcW w:w="1573" w:type="dxa"/>
            <w:tcBorders>
              <w:top w:val="nil"/>
              <w:left w:val="nil"/>
              <w:bottom w:val="nil"/>
              <w:right w:val="nil"/>
              <w:tl2br w:val="nil"/>
              <w:tr2bl w:val="nil"/>
            </w:tcBorders>
            <w:shd w:val="clear" w:color="auto" w:fill="auto"/>
            <w:tcMar>
              <w:top w:w="60" w:type="dxa"/>
              <w:left w:w="160" w:type="dxa"/>
              <w:bottom w:w="100" w:type="dxa"/>
              <w:right w:w="0" w:type="dxa"/>
            </w:tcMar>
            <w:vAlign w:val="center"/>
          </w:tcPr>
          <w:p w:rsidR="004B110F" w:rsidRDefault="001B78B5" w:rsidP="00460C2C">
            <w:pPr>
              <w:pStyle w:val="AppendixFinancialTableGroupItem"/>
              <w:keepNext/>
              <w:keepLines/>
              <w:spacing w:after="280"/>
            </w:pPr>
            <w:r>
              <w:t>Change in Accounts Receivable</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r>
      <w:tr w:rsidR="0016590F" w:rsidTr="004569D1">
        <w:trPr>
          <w:cantSplit/>
          <w:jc w:val="center"/>
        </w:trPr>
        <w:tc>
          <w:tcPr>
            <w:tcW w:w="1573" w:type="dxa"/>
            <w:tcBorders>
              <w:top w:val="nil"/>
              <w:left w:val="nil"/>
              <w:bottom w:val="nil"/>
              <w:right w:val="nil"/>
              <w:tl2br w:val="nil"/>
              <w:tr2bl w:val="nil"/>
            </w:tcBorders>
            <w:shd w:val="clear" w:color="auto" w:fill="D0CECE" w:themeFill="background2" w:themeFillShade="E6"/>
            <w:tcMar>
              <w:top w:w="60" w:type="dxa"/>
              <w:left w:w="160" w:type="dxa"/>
              <w:bottom w:w="100" w:type="dxa"/>
              <w:right w:w="0" w:type="dxa"/>
            </w:tcMar>
            <w:vAlign w:val="center"/>
          </w:tcPr>
          <w:p w:rsidR="004B110F" w:rsidRDefault="001B78B5" w:rsidP="00460C2C">
            <w:pPr>
              <w:pStyle w:val="AppendixFinancialTableGroupItem"/>
              <w:keepNext/>
              <w:keepLines/>
              <w:spacing w:after="280"/>
            </w:pPr>
            <w:r>
              <w:t>Change in Inventory</w:t>
            </w: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r>
      <w:tr w:rsidR="0016590F" w:rsidTr="004569D1">
        <w:trPr>
          <w:cantSplit/>
          <w:jc w:val="center"/>
        </w:trPr>
        <w:tc>
          <w:tcPr>
            <w:tcW w:w="1573" w:type="dxa"/>
            <w:tcBorders>
              <w:top w:val="nil"/>
              <w:left w:val="nil"/>
              <w:bottom w:val="nil"/>
              <w:right w:val="nil"/>
              <w:tl2br w:val="nil"/>
              <w:tr2bl w:val="nil"/>
            </w:tcBorders>
            <w:shd w:val="clear" w:color="auto" w:fill="auto"/>
            <w:tcMar>
              <w:top w:w="60" w:type="dxa"/>
              <w:left w:w="160" w:type="dxa"/>
              <w:bottom w:w="100" w:type="dxa"/>
              <w:right w:w="0" w:type="dxa"/>
            </w:tcMar>
            <w:vAlign w:val="center"/>
          </w:tcPr>
          <w:p w:rsidR="004B110F" w:rsidRDefault="001B78B5" w:rsidP="00460C2C">
            <w:pPr>
              <w:pStyle w:val="AppendixFinancialTableGroupItem"/>
              <w:keepNext/>
              <w:keepLines/>
              <w:spacing w:after="280"/>
            </w:pPr>
            <w:r>
              <w:t>Change in Accounts Payable</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r>
      <w:tr w:rsidR="0016590F" w:rsidTr="004569D1">
        <w:trPr>
          <w:cantSplit/>
          <w:jc w:val="center"/>
        </w:trPr>
        <w:tc>
          <w:tcPr>
            <w:tcW w:w="1573" w:type="dxa"/>
            <w:tcBorders>
              <w:top w:val="nil"/>
              <w:left w:val="nil"/>
              <w:bottom w:val="nil"/>
              <w:right w:val="nil"/>
              <w:tl2br w:val="nil"/>
              <w:tr2bl w:val="nil"/>
            </w:tcBorders>
            <w:shd w:val="clear" w:color="auto" w:fill="D0CECE" w:themeFill="background2" w:themeFillShade="E6"/>
            <w:tcMar>
              <w:top w:w="60" w:type="dxa"/>
              <w:left w:w="160" w:type="dxa"/>
              <w:bottom w:w="100" w:type="dxa"/>
              <w:right w:w="0" w:type="dxa"/>
            </w:tcMar>
            <w:vAlign w:val="center"/>
          </w:tcPr>
          <w:p w:rsidR="004B110F" w:rsidRDefault="001B78B5" w:rsidP="00460C2C">
            <w:pPr>
              <w:pStyle w:val="AppendixFinancialTableGroupItem"/>
              <w:keepNext/>
              <w:keepLines/>
              <w:spacing w:after="280"/>
            </w:pPr>
            <w:r>
              <w:t>Change in Income Tax Payable</w:t>
            </w: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€129,615</w:t>
            </w: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€156,373</w:t>
            </w: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€169,574</w:t>
            </w: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€186,896</w:t>
            </w: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€201,474</w:t>
            </w: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€202,718</w:t>
            </w: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€213,008</w:t>
            </w: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€229,125</w:t>
            </w: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€220,137</w:t>
            </w: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€265,430</w:t>
            </w: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€282,262</w:t>
            </w: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€306,700</w:t>
            </w:r>
          </w:p>
        </w:tc>
      </w:tr>
      <w:tr w:rsidR="0016590F" w:rsidTr="004569D1">
        <w:trPr>
          <w:cantSplit/>
          <w:jc w:val="center"/>
        </w:trPr>
        <w:tc>
          <w:tcPr>
            <w:tcW w:w="1573" w:type="dxa"/>
            <w:tcBorders>
              <w:top w:val="nil"/>
              <w:left w:val="nil"/>
              <w:bottom w:val="nil"/>
              <w:right w:val="nil"/>
              <w:tl2br w:val="nil"/>
              <w:tr2bl w:val="nil"/>
            </w:tcBorders>
            <w:shd w:val="clear" w:color="auto" w:fill="auto"/>
            <w:tcMar>
              <w:top w:w="60" w:type="dxa"/>
              <w:left w:w="160" w:type="dxa"/>
              <w:bottom w:w="100" w:type="dxa"/>
              <w:right w:w="0" w:type="dxa"/>
            </w:tcMar>
            <w:vAlign w:val="center"/>
          </w:tcPr>
          <w:p w:rsidR="004B110F" w:rsidRDefault="001B78B5" w:rsidP="00460C2C">
            <w:pPr>
              <w:pStyle w:val="AppendixFinancialTableGroupItem"/>
              <w:keepNext/>
              <w:keepLines/>
              <w:spacing w:after="280"/>
            </w:pPr>
            <w:r>
              <w:t>Change in Sales Tax Payable</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€158,347</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€169,866</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€178,667</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(€319,413)</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€196,266</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€197,067</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(€374,934)</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€214,667</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€215,467</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(€403,734)</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€241,067</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€251,467</w:t>
            </w:r>
          </w:p>
        </w:tc>
      </w:tr>
      <w:tr w:rsidR="0016590F" w:rsidTr="004569D1">
        <w:trPr>
          <w:cantSplit/>
          <w:jc w:val="center"/>
        </w:trPr>
        <w:tc>
          <w:tcPr>
            <w:tcW w:w="1573" w:type="dxa"/>
            <w:tcBorders>
              <w:top w:val="nil"/>
              <w:left w:val="nil"/>
              <w:bottom w:val="nil"/>
              <w:right w:val="nil"/>
              <w:tl2br w:val="nil"/>
              <w:tr2bl w:val="nil"/>
            </w:tcBorders>
            <w:shd w:val="clear" w:color="auto" w:fill="D0CECE" w:themeFill="background2" w:themeFillShade="E6"/>
            <w:tcMar>
              <w:top w:w="60" w:type="dxa"/>
              <w:left w:w="160" w:type="dxa"/>
              <w:bottom w:w="100" w:type="dxa"/>
              <w:right w:w="0" w:type="dxa"/>
            </w:tcMar>
            <w:vAlign w:val="center"/>
          </w:tcPr>
          <w:p w:rsidR="004B110F" w:rsidRDefault="001B78B5" w:rsidP="00460C2C">
            <w:pPr>
              <w:pStyle w:val="AppendixFinancialTableGroupItem"/>
              <w:keepNext/>
              <w:keepLines/>
              <w:spacing w:after="280"/>
            </w:pPr>
            <w:r>
              <w:t>Change in Prepaid Revenue</w:t>
            </w: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r>
      <w:tr w:rsidR="0016590F" w:rsidTr="004569D1">
        <w:trPr>
          <w:cantSplit/>
          <w:jc w:val="center"/>
        </w:trPr>
        <w:tc>
          <w:tcPr>
            <w:tcW w:w="1573" w:type="dxa"/>
            <w:tcBorders>
              <w:top w:val="nil"/>
              <w:left w:val="nil"/>
              <w:bottom w:val="single" w:sz="8" w:space="0" w:color="000000"/>
              <w:right w:val="nil"/>
              <w:tl2br w:val="nil"/>
              <w:tr2bl w:val="nil"/>
            </w:tcBorders>
            <w:shd w:val="clear" w:color="auto" w:fill="9CC2E5" w:themeFill="accent5" w:themeFillTint="99"/>
            <w:tcMar>
              <w:top w:w="60" w:type="dxa"/>
              <w:left w:w="0" w:type="dxa"/>
              <w:bottom w:w="100" w:type="dxa"/>
              <w:right w:w="0" w:type="dxa"/>
            </w:tcMar>
            <w:vAlign w:val="center"/>
          </w:tcPr>
          <w:p w:rsidR="004B110F" w:rsidRDefault="001B78B5" w:rsidP="00460C2C">
            <w:pPr>
              <w:pStyle w:val="AppendixFinancialTableGroupFooter"/>
              <w:keepNext/>
              <w:keepLines/>
              <w:spacing w:after="280"/>
            </w:pPr>
            <w:r>
              <w:t>Net Cash Flow from Operations</w:t>
            </w:r>
          </w:p>
        </w:tc>
        <w:tc>
          <w:tcPr>
            <w:tcW w:w="997" w:type="dxa"/>
            <w:gridSpan w:val="2"/>
            <w:tcBorders>
              <w:top w:val="nil"/>
              <w:left w:val="nil"/>
              <w:bottom w:val="single" w:sz="8" w:space="0" w:color="000000"/>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€570,422</w:t>
            </w:r>
          </w:p>
        </w:tc>
        <w:tc>
          <w:tcPr>
            <w:tcW w:w="997" w:type="dxa"/>
            <w:tcBorders>
              <w:top w:val="nil"/>
              <w:left w:val="nil"/>
              <w:bottom w:val="single" w:sz="8" w:space="0" w:color="000000"/>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€658,391</w:t>
            </w:r>
          </w:p>
        </w:tc>
        <w:tc>
          <w:tcPr>
            <w:tcW w:w="997" w:type="dxa"/>
            <w:gridSpan w:val="2"/>
            <w:tcBorders>
              <w:top w:val="nil"/>
              <w:left w:val="nil"/>
              <w:bottom w:val="single" w:sz="8" w:space="0" w:color="000000"/>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€705,050</w:t>
            </w:r>
          </w:p>
        </w:tc>
        <w:tc>
          <w:tcPr>
            <w:tcW w:w="997" w:type="dxa"/>
            <w:tcBorders>
              <w:top w:val="nil"/>
              <w:left w:val="nil"/>
              <w:bottom w:val="single" w:sz="8" w:space="0" w:color="000000"/>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€256,497</w:t>
            </w:r>
          </w:p>
        </w:tc>
        <w:tc>
          <w:tcPr>
            <w:tcW w:w="997" w:type="dxa"/>
            <w:gridSpan w:val="2"/>
            <w:tcBorders>
              <w:top w:val="nil"/>
              <w:left w:val="nil"/>
              <w:bottom w:val="single" w:sz="8" w:space="0" w:color="000000"/>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€813,909</w:t>
            </w:r>
          </w:p>
        </w:tc>
        <w:tc>
          <w:tcPr>
            <w:tcW w:w="997" w:type="dxa"/>
            <w:tcBorders>
              <w:top w:val="nil"/>
              <w:left w:val="nil"/>
              <w:bottom w:val="single" w:sz="8" w:space="0" w:color="000000"/>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€818,265</w:t>
            </w:r>
          </w:p>
        </w:tc>
        <w:tc>
          <w:tcPr>
            <w:tcW w:w="997" w:type="dxa"/>
            <w:tcBorders>
              <w:top w:val="nil"/>
              <w:left w:val="nil"/>
              <w:bottom w:val="single" w:sz="8" w:space="0" w:color="000000"/>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€275,783</w:t>
            </w:r>
          </w:p>
        </w:tc>
        <w:tc>
          <w:tcPr>
            <w:tcW w:w="997" w:type="dxa"/>
            <w:gridSpan w:val="2"/>
            <w:tcBorders>
              <w:top w:val="nil"/>
              <w:left w:val="nil"/>
              <w:bottom w:val="single" w:sz="8" w:space="0" w:color="000000"/>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€911,434</w:t>
            </w:r>
          </w:p>
        </w:tc>
        <w:tc>
          <w:tcPr>
            <w:tcW w:w="997" w:type="dxa"/>
            <w:tcBorders>
              <w:top w:val="nil"/>
              <w:left w:val="nil"/>
              <w:bottom w:val="single" w:sz="8" w:space="0" w:color="000000"/>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€886,637</w:t>
            </w:r>
          </w:p>
        </w:tc>
        <w:tc>
          <w:tcPr>
            <w:tcW w:w="997" w:type="dxa"/>
            <w:gridSpan w:val="2"/>
            <w:tcBorders>
              <w:top w:val="nil"/>
              <w:left w:val="nil"/>
              <w:bottom w:val="single" w:sz="8" w:space="0" w:color="000000"/>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€396,878</w:t>
            </w:r>
          </w:p>
        </w:tc>
        <w:tc>
          <w:tcPr>
            <w:tcW w:w="997" w:type="dxa"/>
            <w:tcBorders>
              <w:top w:val="nil"/>
              <w:left w:val="nil"/>
              <w:bottom w:val="single" w:sz="8" w:space="0" w:color="000000"/>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€1,089,857</w:t>
            </w:r>
          </w:p>
        </w:tc>
        <w:tc>
          <w:tcPr>
            <w:tcW w:w="997" w:type="dxa"/>
            <w:gridSpan w:val="2"/>
            <w:tcBorders>
              <w:top w:val="nil"/>
              <w:left w:val="nil"/>
              <w:bottom w:val="single" w:sz="8" w:space="0" w:color="000000"/>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€1,170,077</w:t>
            </w:r>
          </w:p>
        </w:tc>
      </w:tr>
      <w:tr w:rsidR="0016590F" w:rsidTr="004569D1">
        <w:trPr>
          <w:cantSplit/>
          <w:jc w:val="center"/>
        </w:trPr>
        <w:tc>
          <w:tcPr>
            <w:tcW w:w="1573" w:type="dxa"/>
            <w:tcBorders>
              <w:top w:val="nil"/>
              <w:left w:val="nil"/>
              <w:bottom w:val="nil"/>
              <w:right w:val="nil"/>
              <w:tl2br w:val="nil"/>
              <w:tr2bl w:val="nil"/>
            </w:tcBorders>
            <w:shd w:val="clear" w:color="auto" w:fill="D9E2F3" w:themeFill="accent1" w:themeFillTint="33"/>
            <w:tcMar>
              <w:top w:w="60" w:type="dxa"/>
              <w:left w:w="0" w:type="dxa"/>
              <w:bottom w:w="100" w:type="dxa"/>
              <w:right w:w="0" w:type="dxa"/>
            </w:tcMar>
            <w:vAlign w:val="center"/>
          </w:tcPr>
          <w:p w:rsidR="004B110F" w:rsidRDefault="001B78B5" w:rsidP="00460C2C">
            <w:pPr>
              <w:pStyle w:val="AppendixFinancialTableGroupHeader"/>
              <w:keepNext/>
              <w:keepLines/>
              <w:spacing w:after="280"/>
            </w:pPr>
            <w:r>
              <w:t>Investing &amp; Financing</w:t>
            </w:r>
          </w:p>
        </w:tc>
        <w:tc>
          <w:tcPr>
            <w:tcW w:w="997" w:type="dxa"/>
            <w:gridSpan w:val="2"/>
            <w:tcBorders>
              <w:top w:val="nil"/>
              <w:left w:val="nil"/>
              <w:bottom w:val="nil"/>
              <w:right w:val="nil"/>
              <w:tl2br w:val="nil"/>
              <w:tr2bl w:val="nil"/>
            </w:tcBorders>
            <w:shd w:val="clear" w:color="auto" w:fill="D9E2F3" w:themeFill="accent1" w:themeFillTint="33"/>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997" w:type="dxa"/>
            <w:tcBorders>
              <w:top w:val="nil"/>
              <w:left w:val="nil"/>
              <w:bottom w:val="nil"/>
              <w:right w:val="nil"/>
              <w:tl2br w:val="nil"/>
              <w:tr2bl w:val="nil"/>
            </w:tcBorders>
            <w:shd w:val="clear" w:color="auto" w:fill="D9E2F3" w:themeFill="accent1" w:themeFillTint="33"/>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997" w:type="dxa"/>
            <w:gridSpan w:val="2"/>
            <w:tcBorders>
              <w:top w:val="nil"/>
              <w:left w:val="nil"/>
              <w:bottom w:val="nil"/>
              <w:right w:val="nil"/>
              <w:tl2br w:val="nil"/>
              <w:tr2bl w:val="nil"/>
            </w:tcBorders>
            <w:shd w:val="clear" w:color="auto" w:fill="D9E2F3" w:themeFill="accent1" w:themeFillTint="33"/>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997" w:type="dxa"/>
            <w:tcBorders>
              <w:top w:val="nil"/>
              <w:left w:val="nil"/>
              <w:bottom w:val="nil"/>
              <w:right w:val="nil"/>
              <w:tl2br w:val="nil"/>
              <w:tr2bl w:val="nil"/>
            </w:tcBorders>
            <w:shd w:val="clear" w:color="auto" w:fill="D9E2F3" w:themeFill="accent1" w:themeFillTint="33"/>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997" w:type="dxa"/>
            <w:gridSpan w:val="2"/>
            <w:tcBorders>
              <w:top w:val="nil"/>
              <w:left w:val="nil"/>
              <w:bottom w:val="nil"/>
              <w:right w:val="nil"/>
              <w:tl2br w:val="nil"/>
              <w:tr2bl w:val="nil"/>
            </w:tcBorders>
            <w:shd w:val="clear" w:color="auto" w:fill="D9E2F3" w:themeFill="accent1" w:themeFillTint="33"/>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997" w:type="dxa"/>
            <w:tcBorders>
              <w:top w:val="nil"/>
              <w:left w:val="nil"/>
              <w:bottom w:val="nil"/>
              <w:right w:val="nil"/>
              <w:tl2br w:val="nil"/>
              <w:tr2bl w:val="nil"/>
            </w:tcBorders>
            <w:shd w:val="clear" w:color="auto" w:fill="D9E2F3" w:themeFill="accent1" w:themeFillTint="33"/>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997" w:type="dxa"/>
            <w:tcBorders>
              <w:top w:val="nil"/>
              <w:left w:val="nil"/>
              <w:bottom w:val="nil"/>
              <w:right w:val="nil"/>
              <w:tl2br w:val="nil"/>
              <w:tr2bl w:val="nil"/>
            </w:tcBorders>
            <w:shd w:val="clear" w:color="auto" w:fill="D9E2F3" w:themeFill="accent1" w:themeFillTint="33"/>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997" w:type="dxa"/>
            <w:gridSpan w:val="2"/>
            <w:tcBorders>
              <w:top w:val="nil"/>
              <w:left w:val="nil"/>
              <w:bottom w:val="nil"/>
              <w:right w:val="nil"/>
              <w:tl2br w:val="nil"/>
              <w:tr2bl w:val="nil"/>
            </w:tcBorders>
            <w:shd w:val="clear" w:color="auto" w:fill="D9E2F3" w:themeFill="accent1" w:themeFillTint="33"/>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997" w:type="dxa"/>
            <w:tcBorders>
              <w:top w:val="nil"/>
              <w:left w:val="nil"/>
              <w:bottom w:val="nil"/>
              <w:right w:val="nil"/>
              <w:tl2br w:val="nil"/>
              <w:tr2bl w:val="nil"/>
            </w:tcBorders>
            <w:shd w:val="clear" w:color="auto" w:fill="D9E2F3" w:themeFill="accent1" w:themeFillTint="33"/>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997" w:type="dxa"/>
            <w:gridSpan w:val="2"/>
            <w:tcBorders>
              <w:top w:val="nil"/>
              <w:left w:val="nil"/>
              <w:bottom w:val="nil"/>
              <w:right w:val="nil"/>
              <w:tl2br w:val="nil"/>
              <w:tr2bl w:val="nil"/>
            </w:tcBorders>
            <w:shd w:val="clear" w:color="auto" w:fill="D9E2F3" w:themeFill="accent1" w:themeFillTint="33"/>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997" w:type="dxa"/>
            <w:tcBorders>
              <w:top w:val="nil"/>
              <w:left w:val="nil"/>
              <w:bottom w:val="nil"/>
              <w:right w:val="nil"/>
              <w:tl2br w:val="nil"/>
              <w:tr2bl w:val="nil"/>
            </w:tcBorders>
            <w:shd w:val="clear" w:color="auto" w:fill="D9E2F3" w:themeFill="accent1" w:themeFillTint="33"/>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997" w:type="dxa"/>
            <w:gridSpan w:val="2"/>
            <w:tcBorders>
              <w:top w:val="nil"/>
              <w:left w:val="nil"/>
              <w:bottom w:val="nil"/>
              <w:right w:val="nil"/>
              <w:tl2br w:val="nil"/>
              <w:tr2bl w:val="nil"/>
            </w:tcBorders>
            <w:shd w:val="clear" w:color="auto" w:fill="D9E2F3" w:themeFill="accent1" w:themeFillTint="33"/>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r>
      <w:tr w:rsidR="0016590F" w:rsidTr="004569D1">
        <w:trPr>
          <w:cantSplit/>
          <w:jc w:val="center"/>
        </w:trPr>
        <w:tc>
          <w:tcPr>
            <w:tcW w:w="1573" w:type="dxa"/>
            <w:tcBorders>
              <w:top w:val="nil"/>
              <w:left w:val="nil"/>
              <w:bottom w:val="nil"/>
              <w:right w:val="nil"/>
              <w:tl2br w:val="nil"/>
              <w:tr2bl w:val="nil"/>
            </w:tcBorders>
            <w:shd w:val="clear" w:color="auto" w:fill="auto"/>
            <w:tcMar>
              <w:top w:w="60" w:type="dxa"/>
              <w:left w:w="160" w:type="dxa"/>
              <w:bottom w:w="100" w:type="dxa"/>
              <w:right w:w="0" w:type="dxa"/>
            </w:tcMar>
            <w:vAlign w:val="center"/>
          </w:tcPr>
          <w:p w:rsidR="004B110F" w:rsidRDefault="001B78B5" w:rsidP="00460C2C">
            <w:pPr>
              <w:pStyle w:val="AppendixFinancialTableGroupItem"/>
              <w:keepNext/>
              <w:keepLines/>
              <w:spacing w:after="280"/>
            </w:pPr>
            <w:r>
              <w:t>Assets Purchased or Sold</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(€6,480,000)</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(€5,000)</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(€3,000)</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(€3,000)</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(€6,000)</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(€3,000)</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(€3,000)</w:t>
            </w: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(€3,000)</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r>
      <w:tr w:rsidR="0016590F" w:rsidTr="004569D1">
        <w:trPr>
          <w:cantSplit/>
          <w:jc w:val="center"/>
        </w:trPr>
        <w:tc>
          <w:tcPr>
            <w:tcW w:w="1573" w:type="dxa"/>
            <w:tcBorders>
              <w:top w:val="nil"/>
              <w:left w:val="nil"/>
              <w:bottom w:val="nil"/>
              <w:right w:val="nil"/>
              <w:tl2br w:val="nil"/>
              <w:tr2bl w:val="nil"/>
            </w:tcBorders>
            <w:shd w:val="clear" w:color="auto" w:fill="D0CECE" w:themeFill="background2" w:themeFillShade="E6"/>
            <w:tcMar>
              <w:top w:w="60" w:type="dxa"/>
              <w:left w:w="160" w:type="dxa"/>
              <w:bottom w:w="100" w:type="dxa"/>
              <w:right w:w="0" w:type="dxa"/>
            </w:tcMar>
            <w:vAlign w:val="center"/>
          </w:tcPr>
          <w:p w:rsidR="004B110F" w:rsidRDefault="001B78B5" w:rsidP="00460C2C">
            <w:pPr>
              <w:pStyle w:val="AppendixFinancialTableGroupItem"/>
              <w:keepNext/>
              <w:keepLines/>
              <w:spacing w:after="280"/>
            </w:pPr>
            <w:r>
              <w:t>Investments Received</w:t>
            </w: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€100,000,000</w:t>
            </w: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r>
      <w:tr w:rsidR="0016590F" w:rsidTr="004569D1">
        <w:trPr>
          <w:cantSplit/>
          <w:jc w:val="center"/>
        </w:trPr>
        <w:tc>
          <w:tcPr>
            <w:tcW w:w="1573" w:type="dxa"/>
            <w:tcBorders>
              <w:top w:val="nil"/>
              <w:left w:val="nil"/>
              <w:bottom w:val="nil"/>
              <w:right w:val="nil"/>
              <w:tl2br w:val="nil"/>
              <w:tr2bl w:val="nil"/>
            </w:tcBorders>
            <w:shd w:val="clear" w:color="auto" w:fill="auto"/>
            <w:tcMar>
              <w:top w:w="60" w:type="dxa"/>
              <w:left w:w="160" w:type="dxa"/>
              <w:bottom w:w="100" w:type="dxa"/>
              <w:right w:w="0" w:type="dxa"/>
            </w:tcMar>
            <w:vAlign w:val="center"/>
          </w:tcPr>
          <w:p w:rsidR="004B110F" w:rsidRDefault="001B78B5" w:rsidP="00460C2C">
            <w:pPr>
              <w:pStyle w:val="AppendixFinancialTableGroupItem"/>
              <w:keepNext/>
              <w:keepLines/>
              <w:spacing w:after="280"/>
            </w:pPr>
            <w:r>
              <w:t>Change in Long-Term Debt</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r>
      <w:tr w:rsidR="0016590F" w:rsidTr="004569D1">
        <w:trPr>
          <w:cantSplit/>
          <w:jc w:val="center"/>
        </w:trPr>
        <w:tc>
          <w:tcPr>
            <w:tcW w:w="1573" w:type="dxa"/>
            <w:tcBorders>
              <w:top w:val="nil"/>
              <w:left w:val="nil"/>
              <w:bottom w:val="nil"/>
              <w:right w:val="nil"/>
              <w:tl2br w:val="nil"/>
              <w:tr2bl w:val="nil"/>
            </w:tcBorders>
            <w:shd w:val="clear" w:color="auto" w:fill="D0CECE" w:themeFill="background2" w:themeFillShade="E6"/>
            <w:tcMar>
              <w:top w:w="60" w:type="dxa"/>
              <w:left w:w="160" w:type="dxa"/>
              <w:bottom w:w="100" w:type="dxa"/>
              <w:right w:w="0" w:type="dxa"/>
            </w:tcMar>
            <w:vAlign w:val="center"/>
          </w:tcPr>
          <w:p w:rsidR="004B110F" w:rsidRDefault="001B78B5" w:rsidP="00460C2C">
            <w:pPr>
              <w:pStyle w:val="AppendixFinancialTableGroupItem"/>
              <w:keepNext/>
              <w:keepLines/>
              <w:spacing w:after="280"/>
            </w:pPr>
            <w:r>
              <w:t>Change in Short-Term Debt</w:t>
            </w: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r>
      <w:tr w:rsidR="0016590F" w:rsidTr="004569D1">
        <w:trPr>
          <w:cantSplit/>
          <w:jc w:val="center"/>
        </w:trPr>
        <w:tc>
          <w:tcPr>
            <w:tcW w:w="1573" w:type="dxa"/>
            <w:tcBorders>
              <w:top w:val="nil"/>
              <w:left w:val="nil"/>
              <w:bottom w:val="nil"/>
              <w:right w:val="nil"/>
              <w:tl2br w:val="nil"/>
              <w:tr2bl w:val="nil"/>
            </w:tcBorders>
            <w:shd w:val="clear" w:color="auto" w:fill="auto"/>
            <w:tcMar>
              <w:top w:w="60" w:type="dxa"/>
              <w:left w:w="160" w:type="dxa"/>
              <w:bottom w:w="100" w:type="dxa"/>
              <w:right w:w="0" w:type="dxa"/>
            </w:tcMar>
            <w:vAlign w:val="center"/>
          </w:tcPr>
          <w:p w:rsidR="004B110F" w:rsidRDefault="001B78B5" w:rsidP="00460C2C">
            <w:pPr>
              <w:pStyle w:val="AppendixFinancialTableGroupItem"/>
              <w:keepNext/>
              <w:keepLines/>
              <w:spacing w:after="280"/>
            </w:pPr>
            <w:r>
              <w:t>Dividends &amp; Distributions</w:t>
            </w: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997" w:type="dxa"/>
            <w:gridSpan w:val="2"/>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r>
      <w:tr w:rsidR="0016590F" w:rsidTr="004569D1">
        <w:trPr>
          <w:cantSplit/>
          <w:jc w:val="center"/>
        </w:trPr>
        <w:tc>
          <w:tcPr>
            <w:tcW w:w="1573" w:type="dxa"/>
            <w:tcBorders>
              <w:top w:val="nil"/>
              <w:left w:val="nil"/>
              <w:bottom w:val="single" w:sz="8" w:space="0" w:color="000000"/>
              <w:right w:val="nil"/>
              <w:tl2br w:val="nil"/>
              <w:tr2bl w:val="nil"/>
            </w:tcBorders>
            <w:shd w:val="clear" w:color="auto" w:fill="FFE599" w:themeFill="accent4" w:themeFillTint="66"/>
            <w:tcMar>
              <w:top w:w="60" w:type="dxa"/>
              <w:left w:w="0" w:type="dxa"/>
              <w:bottom w:w="100" w:type="dxa"/>
              <w:right w:w="0" w:type="dxa"/>
            </w:tcMar>
            <w:vAlign w:val="center"/>
          </w:tcPr>
          <w:p w:rsidR="004B110F" w:rsidRDefault="001B78B5" w:rsidP="00460C2C">
            <w:pPr>
              <w:pStyle w:val="AppendixFinancialTableGroupFooter"/>
              <w:keepNext/>
              <w:keepLines/>
              <w:spacing w:after="280"/>
            </w:pPr>
            <w:r>
              <w:t>Net Cash Flow from Investing &amp; Financing</w:t>
            </w:r>
          </w:p>
        </w:tc>
        <w:tc>
          <w:tcPr>
            <w:tcW w:w="997" w:type="dxa"/>
            <w:gridSpan w:val="2"/>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€93,520,000</w:t>
            </w:r>
          </w:p>
        </w:tc>
        <w:tc>
          <w:tcPr>
            <w:tcW w:w="997" w:type="dxa"/>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4B110F" w:rsidP="00460C2C">
            <w:pPr>
              <w:pStyle w:val="AppendixFinancialTableGroupFooter"/>
              <w:keepNext/>
              <w:keepLines/>
              <w:spacing w:after="280"/>
            </w:pPr>
          </w:p>
        </w:tc>
        <w:tc>
          <w:tcPr>
            <w:tcW w:w="997" w:type="dxa"/>
            <w:gridSpan w:val="2"/>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(€5,000)</w:t>
            </w:r>
          </w:p>
        </w:tc>
        <w:tc>
          <w:tcPr>
            <w:tcW w:w="997" w:type="dxa"/>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(€3,000)</w:t>
            </w:r>
          </w:p>
        </w:tc>
        <w:tc>
          <w:tcPr>
            <w:tcW w:w="997" w:type="dxa"/>
            <w:gridSpan w:val="2"/>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(€3,000)</w:t>
            </w:r>
          </w:p>
        </w:tc>
        <w:tc>
          <w:tcPr>
            <w:tcW w:w="997" w:type="dxa"/>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4B110F" w:rsidP="00460C2C">
            <w:pPr>
              <w:pStyle w:val="AppendixFinancialTableGroupFooter"/>
              <w:keepNext/>
              <w:keepLines/>
              <w:spacing w:after="280"/>
            </w:pPr>
          </w:p>
        </w:tc>
        <w:tc>
          <w:tcPr>
            <w:tcW w:w="997" w:type="dxa"/>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(€6,000)</w:t>
            </w:r>
          </w:p>
        </w:tc>
        <w:tc>
          <w:tcPr>
            <w:tcW w:w="997" w:type="dxa"/>
            <w:gridSpan w:val="2"/>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4B110F" w:rsidP="00460C2C">
            <w:pPr>
              <w:pStyle w:val="AppendixFinancialTableGroupFooter"/>
              <w:keepNext/>
              <w:keepLines/>
              <w:spacing w:after="280"/>
            </w:pPr>
          </w:p>
        </w:tc>
        <w:tc>
          <w:tcPr>
            <w:tcW w:w="997" w:type="dxa"/>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(€3,000)</w:t>
            </w:r>
          </w:p>
        </w:tc>
        <w:tc>
          <w:tcPr>
            <w:tcW w:w="997" w:type="dxa"/>
            <w:gridSpan w:val="2"/>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(€3,000)</w:t>
            </w:r>
          </w:p>
        </w:tc>
        <w:tc>
          <w:tcPr>
            <w:tcW w:w="997" w:type="dxa"/>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(€3,000)</w:t>
            </w:r>
          </w:p>
        </w:tc>
        <w:tc>
          <w:tcPr>
            <w:tcW w:w="997" w:type="dxa"/>
            <w:gridSpan w:val="2"/>
            <w:tcBorders>
              <w:top w:val="nil"/>
              <w:left w:val="nil"/>
              <w:bottom w:val="single" w:sz="8" w:space="0" w:color="000000"/>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4B110F" w:rsidP="00460C2C">
            <w:pPr>
              <w:pStyle w:val="AppendixFinancialTableGroupFooter"/>
              <w:keepNext/>
              <w:keepLines/>
              <w:spacing w:after="280"/>
            </w:pPr>
          </w:p>
        </w:tc>
      </w:tr>
      <w:tr w:rsidR="0016590F" w:rsidTr="004569D1">
        <w:trPr>
          <w:cantSplit/>
          <w:jc w:val="center"/>
        </w:trPr>
        <w:tc>
          <w:tcPr>
            <w:tcW w:w="1573" w:type="dxa"/>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Item"/>
              <w:keepNext/>
              <w:keepLines/>
              <w:spacing w:after="280"/>
            </w:pPr>
            <w:r>
              <w:t>Cash at Beginning of Period</w:t>
            </w:r>
          </w:p>
        </w:tc>
        <w:tc>
          <w:tcPr>
            <w:tcW w:w="997" w:type="dxa"/>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997"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€94,090,422</w:t>
            </w:r>
          </w:p>
        </w:tc>
        <w:tc>
          <w:tcPr>
            <w:tcW w:w="997" w:type="dxa"/>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€94,748,813</w:t>
            </w:r>
          </w:p>
        </w:tc>
        <w:tc>
          <w:tcPr>
            <w:tcW w:w="997"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€95,448,863</w:t>
            </w:r>
          </w:p>
        </w:tc>
        <w:tc>
          <w:tcPr>
            <w:tcW w:w="997" w:type="dxa"/>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€95,702,360</w:t>
            </w:r>
          </w:p>
        </w:tc>
        <w:tc>
          <w:tcPr>
            <w:tcW w:w="997"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€96,513,269</w:t>
            </w:r>
          </w:p>
        </w:tc>
        <w:tc>
          <w:tcPr>
            <w:tcW w:w="997"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€97,331,534</w:t>
            </w:r>
          </w:p>
        </w:tc>
        <w:tc>
          <w:tcPr>
            <w:tcW w:w="997" w:type="dxa"/>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€97,601,317</w:t>
            </w:r>
          </w:p>
        </w:tc>
        <w:tc>
          <w:tcPr>
            <w:tcW w:w="997"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€98,512,750</w:t>
            </w:r>
          </w:p>
        </w:tc>
        <w:tc>
          <w:tcPr>
            <w:tcW w:w="997" w:type="dxa"/>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€99,396,387</w:t>
            </w:r>
          </w:p>
        </w:tc>
        <w:tc>
          <w:tcPr>
            <w:tcW w:w="997" w:type="dxa"/>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€99,790,265</w:t>
            </w:r>
          </w:p>
        </w:tc>
        <w:tc>
          <w:tcPr>
            <w:tcW w:w="997" w:type="dxa"/>
            <w:gridSpan w:val="2"/>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€100,877,122</w:t>
            </w:r>
          </w:p>
        </w:tc>
      </w:tr>
      <w:tr w:rsidR="0016590F" w:rsidTr="004569D1">
        <w:trPr>
          <w:cantSplit/>
          <w:jc w:val="center"/>
        </w:trPr>
        <w:tc>
          <w:tcPr>
            <w:tcW w:w="1573" w:type="dxa"/>
            <w:tcBorders>
              <w:top w:val="nil"/>
              <w:left w:val="nil"/>
              <w:bottom w:val="nil"/>
              <w:right w:val="nil"/>
              <w:tl2br w:val="nil"/>
              <w:tr2bl w:val="nil"/>
            </w:tcBorders>
            <w:shd w:val="clear" w:color="auto" w:fill="BDD6EE" w:themeFill="accent5" w:themeFillTint="66"/>
            <w:tcMar>
              <w:top w:w="60" w:type="dxa"/>
              <w:left w:w="0" w:type="dxa"/>
              <w:bottom w:w="100" w:type="dxa"/>
              <w:right w:w="0" w:type="dxa"/>
            </w:tcMar>
            <w:vAlign w:val="center"/>
          </w:tcPr>
          <w:p w:rsidR="004B110F" w:rsidRDefault="001B78B5" w:rsidP="00460C2C">
            <w:pPr>
              <w:pStyle w:val="AppendixFinancialTableItem"/>
              <w:keepNext/>
              <w:keepLines/>
              <w:spacing w:after="280"/>
            </w:pPr>
            <w:r>
              <w:t>Net Change in Cash</w:t>
            </w:r>
          </w:p>
        </w:tc>
        <w:tc>
          <w:tcPr>
            <w:tcW w:w="997" w:type="dxa"/>
            <w:gridSpan w:val="2"/>
            <w:tcBorders>
              <w:top w:val="nil"/>
              <w:left w:val="nil"/>
              <w:bottom w:val="nil"/>
              <w:right w:val="nil"/>
              <w:tl2br w:val="nil"/>
              <w:tr2bl w:val="nil"/>
            </w:tcBorders>
            <w:shd w:val="clear" w:color="auto" w:fill="BDD6EE" w:themeFill="accent5"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€94,090,422</w:t>
            </w:r>
          </w:p>
        </w:tc>
        <w:tc>
          <w:tcPr>
            <w:tcW w:w="997" w:type="dxa"/>
            <w:tcBorders>
              <w:top w:val="nil"/>
              <w:left w:val="nil"/>
              <w:bottom w:val="nil"/>
              <w:right w:val="nil"/>
              <w:tl2br w:val="nil"/>
              <w:tr2bl w:val="nil"/>
            </w:tcBorders>
            <w:shd w:val="clear" w:color="auto" w:fill="BDD6EE" w:themeFill="accent5"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€658,391</w:t>
            </w:r>
          </w:p>
        </w:tc>
        <w:tc>
          <w:tcPr>
            <w:tcW w:w="997" w:type="dxa"/>
            <w:gridSpan w:val="2"/>
            <w:tcBorders>
              <w:top w:val="nil"/>
              <w:left w:val="nil"/>
              <w:bottom w:val="nil"/>
              <w:right w:val="nil"/>
              <w:tl2br w:val="nil"/>
              <w:tr2bl w:val="nil"/>
            </w:tcBorders>
            <w:shd w:val="clear" w:color="auto" w:fill="BDD6EE" w:themeFill="accent5"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€700,050</w:t>
            </w:r>
          </w:p>
        </w:tc>
        <w:tc>
          <w:tcPr>
            <w:tcW w:w="997" w:type="dxa"/>
            <w:tcBorders>
              <w:top w:val="nil"/>
              <w:left w:val="nil"/>
              <w:bottom w:val="nil"/>
              <w:right w:val="nil"/>
              <w:tl2br w:val="nil"/>
              <w:tr2bl w:val="nil"/>
            </w:tcBorders>
            <w:shd w:val="clear" w:color="auto" w:fill="BDD6EE" w:themeFill="accent5"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€253,497</w:t>
            </w:r>
          </w:p>
        </w:tc>
        <w:tc>
          <w:tcPr>
            <w:tcW w:w="997" w:type="dxa"/>
            <w:gridSpan w:val="2"/>
            <w:tcBorders>
              <w:top w:val="nil"/>
              <w:left w:val="nil"/>
              <w:bottom w:val="nil"/>
              <w:right w:val="nil"/>
              <w:tl2br w:val="nil"/>
              <w:tr2bl w:val="nil"/>
            </w:tcBorders>
            <w:shd w:val="clear" w:color="auto" w:fill="BDD6EE" w:themeFill="accent5"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€810,909</w:t>
            </w:r>
          </w:p>
        </w:tc>
        <w:tc>
          <w:tcPr>
            <w:tcW w:w="997" w:type="dxa"/>
            <w:tcBorders>
              <w:top w:val="nil"/>
              <w:left w:val="nil"/>
              <w:bottom w:val="nil"/>
              <w:right w:val="nil"/>
              <w:tl2br w:val="nil"/>
              <w:tr2bl w:val="nil"/>
            </w:tcBorders>
            <w:shd w:val="clear" w:color="auto" w:fill="BDD6EE" w:themeFill="accent5"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€818,265</w:t>
            </w:r>
          </w:p>
        </w:tc>
        <w:tc>
          <w:tcPr>
            <w:tcW w:w="997" w:type="dxa"/>
            <w:tcBorders>
              <w:top w:val="nil"/>
              <w:left w:val="nil"/>
              <w:bottom w:val="nil"/>
              <w:right w:val="nil"/>
              <w:tl2br w:val="nil"/>
              <w:tr2bl w:val="nil"/>
            </w:tcBorders>
            <w:shd w:val="clear" w:color="auto" w:fill="BDD6EE" w:themeFill="accent5"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€269,783</w:t>
            </w:r>
          </w:p>
        </w:tc>
        <w:tc>
          <w:tcPr>
            <w:tcW w:w="997" w:type="dxa"/>
            <w:gridSpan w:val="2"/>
            <w:tcBorders>
              <w:top w:val="nil"/>
              <w:left w:val="nil"/>
              <w:bottom w:val="nil"/>
              <w:right w:val="nil"/>
              <w:tl2br w:val="nil"/>
              <w:tr2bl w:val="nil"/>
            </w:tcBorders>
            <w:shd w:val="clear" w:color="auto" w:fill="BDD6EE" w:themeFill="accent5"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€911,434</w:t>
            </w:r>
          </w:p>
        </w:tc>
        <w:tc>
          <w:tcPr>
            <w:tcW w:w="997" w:type="dxa"/>
            <w:tcBorders>
              <w:top w:val="nil"/>
              <w:left w:val="nil"/>
              <w:bottom w:val="nil"/>
              <w:right w:val="nil"/>
              <w:tl2br w:val="nil"/>
              <w:tr2bl w:val="nil"/>
            </w:tcBorders>
            <w:shd w:val="clear" w:color="auto" w:fill="BDD6EE" w:themeFill="accent5"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€883,637</w:t>
            </w:r>
          </w:p>
        </w:tc>
        <w:tc>
          <w:tcPr>
            <w:tcW w:w="997" w:type="dxa"/>
            <w:gridSpan w:val="2"/>
            <w:tcBorders>
              <w:top w:val="nil"/>
              <w:left w:val="nil"/>
              <w:bottom w:val="nil"/>
              <w:right w:val="nil"/>
              <w:tl2br w:val="nil"/>
              <w:tr2bl w:val="nil"/>
            </w:tcBorders>
            <w:shd w:val="clear" w:color="auto" w:fill="BDD6EE" w:themeFill="accent5"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€393,878</w:t>
            </w:r>
          </w:p>
        </w:tc>
        <w:tc>
          <w:tcPr>
            <w:tcW w:w="997" w:type="dxa"/>
            <w:tcBorders>
              <w:top w:val="nil"/>
              <w:left w:val="nil"/>
              <w:bottom w:val="nil"/>
              <w:right w:val="nil"/>
              <w:tl2br w:val="nil"/>
              <w:tr2bl w:val="nil"/>
            </w:tcBorders>
            <w:shd w:val="clear" w:color="auto" w:fill="BDD6EE" w:themeFill="accent5"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€1,086,857</w:t>
            </w:r>
          </w:p>
        </w:tc>
        <w:tc>
          <w:tcPr>
            <w:tcW w:w="997" w:type="dxa"/>
            <w:gridSpan w:val="2"/>
            <w:tcBorders>
              <w:top w:val="nil"/>
              <w:left w:val="nil"/>
              <w:bottom w:val="nil"/>
              <w:right w:val="nil"/>
              <w:tl2br w:val="nil"/>
              <w:tr2bl w:val="nil"/>
            </w:tcBorders>
            <w:shd w:val="clear" w:color="auto" w:fill="BDD6EE" w:themeFill="accent5" w:themeFillTint="66"/>
            <w:noWrap/>
            <w:tcMar>
              <w:top w:w="60" w:type="dxa"/>
              <w:left w:w="0" w:type="dxa"/>
              <w:bottom w:w="100" w:type="dxa"/>
              <w:right w:w="0" w:type="dxa"/>
            </w:tcMar>
            <w:vAlign w:val="center"/>
          </w:tcPr>
          <w:p w:rsidR="004B110F" w:rsidRDefault="001B78B5" w:rsidP="00460C2C">
            <w:pPr>
              <w:pStyle w:val="AppendixFinancialTableItem"/>
              <w:keepNext/>
              <w:keepLines/>
              <w:spacing w:after="280"/>
            </w:pPr>
            <w:r>
              <w:t>€1,170,077</w:t>
            </w:r>
          </w:p>
        </w:tc>
      </w:tr>
      <w:tr w:rsidR="0016590F" w:rsidTr="004569D1">
        <w:trPr>
          <w:cantSplit/>
          <w:jc w:val="center"/>
        </w:trPr>
        <w:tc>
          <w:tcPr>
            <w:tcW w:w="1573" w:type="dxa"/>
            <w:tcBorders>
              <w:top w:val="nil"/>
              <w:left w:val="nil"/>
              <w:bottom w:val="single" w:sz="8" w:space="0" w:color="000000"/>
              <w:right w:val="nil"/>
              <w:tl2br w:val="nil"/>
              <w:tr2bl w:val="nil"/>
            </w:tcBorders>
            <w:shd w:val="clear" w:color="auto" w:fill="A8D08D" w:themeFill="accent6" w:themeFillTint="99"/>
            <w:tcMar>
              <w:top w:w="60" w:type="dxa"/>
              <w:left w:w="0" w:type="dxa"/>
              <w:bottom w:w="100" w:type="dxa"/>
              <w:right w:w="0" w:type="dxa"/>
            </w:tcMar>
            <w:vAlign w:val="center"/>
          </w:tcPr>
          <w:p w:rsidR="004B110F" w:rsidRDefault="001B78B5" w:rsidP="00460C2C">
            <w:pPr>
              <w:pStyle w:val="AppendixFinancialTableGroupFooter"/>
              <w:keepNext/>
              <w:keepLines/>
              <w:spacing w:after="280"/>
            </w:pPr>
            <w:r>
              <w:t>Cash at End of Period</w:t>
            </w:r>
          </w:p>
        </w:tc>
        <w:tc>
          <w:tcPr>
            <w:tcW w:w="997" w:type="dxa"/>
            <w:gridSpan w:val="2"/>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€94,090,422</w:t>
            </w:r>
          </w:p>
        </w:tc>
        <w:tc>
          <w:tcPr>
            <w:tcW w:w="997" w:type="dxa"/>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€94,748,813</w:t>
            </w:r>
          </w:p>
        </w:tc>
        <w:tc>
          <w:tcPr>
            <w:tcW w:w="997" w:type="dxa"/>
            <w:gridSpan w:val="2"/>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€95,448,863</w:t>
            </w:r>
          </w:p>
        </w:tc>
        <w:tc>
          <w:tcPr>
            <w:tcW w:w="997" w:type="dxa"/>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€95,702,360</w:t>
            </w:r>
          </w:p>
        </w:tc>
        <w:tc>
          <w:tcPr>
            <w:tcW w:w="997" w:type="dxa"/>
            <w:gridSpan w:val="2"/>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€96,513,269</w:t>
            </w:r>
          </w:p>
        </w:tc>
        <w:tc>
          <w:tcPr>
            <w:tcW w:w="997" w:type="dxa"/>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€97,331,534</w:t>
            </w:r>
          </w:p>
        </w:tc>
        <w:tc>
          <w:tcPr>
            <w:tcW w:w="997" w:type="dxa"/>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€97,601,317</w:t>
            </w:r>
          </w:p>
        </w:tc>
        <w:tc>
          <w:tcPr>
            <w:tcW w:w="997" w:type="dxa"/>
            <w:gridSpan w:val="2"/>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€98,512,750</w:t>
            </w:r>
          </w:p>
        </w:tc>
        <w:tc>
          <w:tcPr>
            <w:tcW w:w="997" w:type="dxa"/>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€99,396,387</w:t>
            </w:r>
          </w:p>
        </w:tc>
        <w:tc>
          <w:tcPr>
            <w:tcW w:w="997" w:type="dxa"/>
            <w:gridSpan w:val="2"/>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€99,790,265</w:t>
            </w:r>
          </w:p>
        </w:tc>
        <w:tc>
          <w:tcPr>
            <w:tcW w:w="997" w:type="dxa"/>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€100,877,122</w:t>
            </w:r>
          </w:p>
        </w:tc>
        <w:tc>
          <w:tcPr>
            <w:tcW w:w="997" w:type="dxa"/>
            <w:gridSpan w:val="2"/>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€102,047,199</w:t>
            </w:r>
          </w:p>
        </w:tc>
      </w:tr>
      <w:tr w:rsidR="0016590F" w:rsidTr="00000037">
        <w:trPr>
          <w:gridAfter w:val="1"/>
          <w:wAfter w:w="577" w:type="dxa"/>
          <w:cantSplit/>
          <w:trHeight w:val="435"/>
          <w:jc w:val="center"/>
        </w:trPr>
        <w:tc>
          <w:tcPr>
            <w:tcW w:w="2160" w:type="dxa"/>
            <w:gridSpan w:val="2"/>
            <w:tcBorders>
              <w:top w:val="nil"/>
              <w:left w:val="nil"/>
              <w:bottom w:val="single" w:sz="8" w:space="0" w:color="000000"/>
              <w:right w:val="nil"/>
              <w:tl2br w:val="nil"/>
              <w:tr2bl w:val="nil"/>
            </w:tcBorders>
            <w:shd w:val="clear" w:color="auto" w:fill="018BB3"/>
            <w:tcMar>
              <w:top w:w="60" w:type="dxa"/>
              <w:left w:w="0" w:type="dxa"/>
              <w:bottom w:w="100" w:type="dxa"/>
              <w:right w:w="0" w:type="dxa"/>
            </w:tcMar>
            <w:vAlign w:val="center"/>
          </w:tcPr>
          <w:p w:rsidR="004569D1" w:rsidRDefault="004569D1" w:rsidP="00460C2C">
            <w:pPr>
              <w:pStyle w:val="AppendixFinancialTableHeader"/>
              <w:keepNext/>
              <w:keepLines/>
              <w:spacing w:after="280"/>
            </w:pPr>
          </w:p>
        </w:tc>
        <w:tc>
          <w:tcPr>
            <w:tcW w:w="2160" w:type="dxa"/>
            <w:gridSpan w:val="3"/>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2019</w:t>
            </w:r>
          </w:p>
        </w:tc>
        <w:tc>
          <w:tcPr>
            <w:tcW w:w="2160" w:type="dxa"/>
            <w:gridSpan w:val="3"/>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2020</w:t>
            </w:r>
          </w:p>
        </w:tc>
        <w:tc>
          <w:tcPr>
            <w:tcW w:w="2160" w:type="dxa"/>
            <w:gridSpan w:val="4"/>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2021</w:t>
            </w:r>
          </w:p>
        </w:tc>
        <w:tc>
          <w:tcPr>
            <w:tcW w:w="2160" w:type="dxa"/>
            <w:gridSpan w:val="3"/>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2022</w:t>
            </w:r>
          </w:p>
        </w:tc>
        <w:tc>
          <w:tcPr>
            <w:tcW w:w="2160" w:type="dxa"/>
            <w:gridSpan w:val="3"/>
            <w:tcBorders>
              <w:top w:val="nil"/>
              <w:left w:val="nil"/>
              <w:bottom w:val="single" w:sz="8" w:space="0" w:color="000000"/>
              <w:right w:val="nil"/>
              <w:tl2br w:val="nil"/>
              <w:tr2bl w:val="nil"/>
            </w:tcBorders>
            <w:shd w:val="clear" w:color="auto" w:fill="018BB3"/>
            <w:noWrap/>
            <w:tcMar>
              <w:top w:w="60" w:type="dxa"/>
              <w:left w:w="0" w:type="dxa"/>
              <w:bottom w:w="100" w:type="dxa"/>
              <w:right w:w="0" w:type="dxa"/>
            </w:tcMar>
            <w:vAlign w:val="center"/>
          </w:tcPr>
          <w:p w:rsidR="004B110F" w:rsidRDefault="001B78B5" w:rsidP="00460C2C">
            <w:pPr>
              <w:pStyle w:val="AppendixFinancialTableHeader"/>
              <w:keepNext/>
              <w:keepLines/>
              <w:spacing w:after="280"/>
            </w:pPr>
            <w:r>
              <w:t>2023</w:t>
            </w:r>
            <w:r w:rsidR="00000037">
              <w:t xml:space="preserve"> </w:t>
            </w:r>
          </w:p>
        </w:tc>
      </w:tr>
      <w:tr w:rsidR="0016590F" w:rsidTr="00000037">
        <w:trPr>
          <w:gridAfter w:val="1"/>
          <w:wAfter w:w="577" w:type="dxa"/>
          <w:cantSplit/>
          <w:jc w:val="center"/>
        </w:trPr>
        <w:tc>
          <w:tcPr>
            <w:tcW w:w="2160" w:type="dxa"/>
            <w:gridSpan w:val="2"/>
            <w:tcBorders>
              <w:top w:val="nil"/>
              <w:left w:val="nil"/>
              <w:bottom w:val="nil"/>
              <w:right w:val="nil"/>
              <w:tl2br w:val="nil"/>
              <w:tr2bl w:val="nil"/>
            </w:tcBorders>
            <w:shd w:val="clear" w:color="auto" w:fill="FFE599" w:themeFill="accent4" w:themeFillTint="66"/>
            <w:tcMar>
              <w:top w:w="60" w:type="dxa"/>
              <w:left w:w="0" w:type="dxa"/>
              <w:bottom w:w="100" w:type="dxa"/>
              <w:right w:w="0" w:type="dxa"/>
            </w:tcMar>
            <w:vAlign w:val="center"/>
          </w:tcPr>
          <w:p w:rsidR="004B110F" w:rsidRDefault="001B78B5" w:rsidP="00460C2C">
            <w:pPr>
              <w:pStyle w:val="AppendixFinancialTableGroupHeader"/>
              <w:keepNext/>
              <w:keepLines/>
              <w:spacing w:after="280"/>
            </w:pPr>
            <w:r>
              <w:lastRenderedPageBreak/>
              <w:t>Net Cash Flow from Operations</w:t>
            </w:r>
          </w:p>
        </w:tc>
        <w:tc>
          <w:tcPr>
            <w:tcW w:w="2160" w:type="dxa"/>
            <w:gridSpan w:val="3"/>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2160" w:type="dxa"/>
            <w:gridSpan w:val="3"/>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2160" w:type="dxa"/>
            <w:gridSpan w:val="4"/>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2160" w:type="dxa"/>
            <w:gridSpan w:val="3"/>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2160" w:type="dxa"/>
            <w:gridSpan w:val="3"/>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r>
      <w:tr w:rsidR="0016590F" w:rsidTr="004569D1">
        <w:trPr>
          <w:gridAfter w:val="1"/>
          <w:wAfter w:w="577" w:type="dxa"/>
          <w:cantSplit/>
          <w:jc w:val="center"/>
        </w:trPr>
        <w:tc>
          <w:tcPr>
            <w:tcW w:w="2160" w:type="dxa"/>
            <w:gridSpan w:val="2"/>
            <w:tcBorders>
              <w:top w:val="nil"/>
              <w:left w:val="nil"/>
              <w:bottom w:val="nil"/>
              <w:right w:val="nil"/>
              <w:tl2br w:val="nil"/>
              <w:tr2bl w:val="nil"/>
            </w:tcBorders>
            <w:shd w:val="clear" w:color="auto" w:fill="auto"/>
            <w:tcMar>
              <w:top w:w="60" w:type="dxa"/>
              <w:left w:w="160" w:type="dxa"/>
              <w:bottom w:w="100" w:type="dxa"/>
              <w:right w:w="0" w:type="dxa"/>
            </w:tcMar>
            <w:vAlign w:val="center"/>
          </w:tcPr>
          <w:p w:rsidR="004B110F" w:rsidRDefault="001B78B5" w:rsidP="00460C2C">
            <w:pPr>
              <w:pStyle w:val="AppendixFinancialTableGroupItem"/>
              <w:keepNext/>
              <w:keepLines/>
              <w:spacing w:after="280"/>
            </w:pPr>
            <w:r>
              <w:t>Net Profit</w:t>
            </w: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€4,760,436</w:t>
            </w: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€12,878,064</w:t>
            </w:r>
          </w:p>
        </w:tc>
        <w:tc>
          <w:tcPr>
            <w:tcW w:w="2160" w:type="dxa"/>
            <w:gridSpan w:val="4"/>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€28,759,344</w:t>
            </w: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€58,938,746</w:t>
            </w: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€147,776,265</w:t>
            </w:r>
          </w:p>
        </w:tc>
      </w:tr>
      <w:tr w:rsidR="0016590F" w:rsidTr="00000037">
        <w:trPr>
          <w:gridAfter w:val="1"/>
          <w:wAfter w:w="577" w:type="dxa"/>
          <w:cantSplit/>
          <w:jc w:val="center"/>
        </w:trPr>
        <w:tc>
          <w:tcPr>
            <w:tcW w:w="2160" w:type="dxa"/>
            <w:gridSpan w:val="2"/>
            <w:tcBorders>
              <w:top w:val="nil"/>
              <w:left w:val="nil"/>
              <w:bottom w:val="nil"/>
              <w:right w:val="nil"/>
              <w:tl2br w:val="nil"/>
              <w:tr2bl w:val="nil"/>
            </w:tcBorders>
            <w:shd w:val="clear" w:color="auto" w:fill="D0CECE" w:themeFill="background2" w:themeFillShade="E6"/>
            <w:tcMar>
              <w:top w:w="60" w:type="dxa"/>
              <w:left w:w="160" w:type="dxa"/>
              <w:bottom w:w="100" w:type="dxa"/>
              <w:right w:w="0" w:type="dxa"/>
            </w:tcMar>
            <w:vAlign w:val="center"/>
          </w:tcPr>
          <w:p w:rsidR="004B110F" w:rsidRDefault="001B78B5" w:rsidP="00460C2C">
            <w:pPr>
              <w:pStyle w:val="AppendixFinancialTableGroupItem"/>
              <w:keepNext/>
              <w:keepLines/>
              <w:spacing w:after="280"/>
            </w:pPr>
            <w:r>
              <w:t>Depreciation &amp; Amortization</w:t>
            </w:r>
          </w:p>
        </w:tc>
        <w:tc>
          <w:tcPr>
            <w:tcW w:w="2160" w:type="dxa"/>
            <w:gridSpan w:val="3"/>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€504,651</w:t>
            </w:r>
          </w:p>
        </w:tc>
        <w:tc>
          <w:tcPr>
            <w:tcW w:w="2160" w:type="dxa"/>
            <w:gridSpan w:val="3"/>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€545,873</w:t>
            </w:r>
          </w:p>
        </w:tc>
        <w:tc>
          <w:tcPr>
            <w:tcW w:w="2160" w:type="dxa"/>
            <w:gridSpan w:val="4"/>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€618,161</w:t>
            </w:r>
          </w:p>
        </w:tc>
        <w:tc>
          <w:tcPr>
            <w:tcW w:w="2160" w:type="dxa"/>
            <w:gridSpan w:val="3"/>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€676,579</w:t>
            </w:r>
          </w:p>
        </w:tc>
        <w:tc>
          <w:tcPr>
            <w:tcW w:w="2160" w:type="dxa"/>
            <w:gridSpan w:val="3"/>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€750,849</w:t>
            </w:r>
          </w:p>
        </w:tc>
      </w:tr>
      <w:tr w:rsidR="0016590F" w:rsidTr="004569D1">
        <w:trPr>
          <w:gridAfter w:val="1"/>
          <w:wAfter w:w="577" w:type="dxa"/>
          <w:cantSplit/>
          <w:jc w:val="center"/>
        </w:trPr>
        <w:tc>
          <w:tcPr>
            <w:tcW w:w="2160" w:type="dxa"/>
            <w:gridSpan w:val="2"/>
            <w:tcBorders>
              <w:top w:val="nil"/>
              <w:left w:val="nil"/>
              <w:bottom w:val="nil"/>
              <w:right w:val="nil"/>
              <w:tl2br w:val="nil"/>
              <w:tr2bl w:val="nil"/>
            </w:tcBorders>
            <w:shd w:val="clear" w:color="auto" w:fill="auto"/>
            <w:tcMar>
              <w:top w:w="60" w:type="dxa"/>
              <w:left w:w="160" w:type="dxa"/>
              <w:bottom w:w="100" w:type="dxa"/>
              <w:right w:w="0" w:type="dxa"/>
            </w:tcMar>
            <w:vAlign w:val="center"/>
          </w:tcPr>
          <w:p w:rsidR="004B110F" w:rsidRDefault="001B78B5" w:rsidP="00460C2C">
            <w:pPr>
              <w:pStyle w:val="AppendixFinancialTableGroupItem"/>
              <w:keepNext/>
              <w:keepLines/>
              <w:spacing w:after="280"/>
            </w:pPr>
            <w:r>
              <w:t>Change in Accounts Receivable</w:t>
            </w: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2160" w:type="dxa"/>
            <w:gridSpan w:val="4"/>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r>
      <w:tr w:rsidR="0016590F" w:rsidTr="00000037">
        <w:trPr>
          <w:gridAfter w:val="1"/>
          <w:wAfter w:w="577" w:type="dxa"/>
          <w:cantSplit/>
          <w:jc w:val="center"/>
        </w:trPr>
        <w:tc>
          <w:tcPr>
            <w:tcW w:w="2160" w:type="dxa"/>
            <w:gridSpan w:val="2"/>
            <w:tcBorders>
              <w:top w:val="nil"/>
              <w:left w:val="nil"/>
              <w:bottom w:val="nil"/>
              <w:right w:val="nil"/>
              <w:tl2br w:val="nil"/>
              <w:tr2bl w:val="nil"/>
            </w:tcBorders>
            <w:shd w:val="clear" w:color="auto" w:fill="D0CECE" w:themeFill="background2" w:themeFillShade="E6"/>
            <w:tcMar>
              <w:top w:w="60" w:type="dxa"/>
              <w:left w:w="160" w:type="dxa"/>
              <w:bottom w:w="100" w:type="dxa"/>
              <w:right w:w="0" w:type="dxa"/>
            </w:tcMar>
            <w:vAlign w:val="center"/>
          </w:tcPr>
          <w:p w:rsidR="004B110F" w:rsidRDefault="001B78B5" w:rsidP="00460C2C">
            <w:pPr>
              <w:pStyle w:val="AppendixFinancialTableGroupItem"/>
              <w:keepNext/>
              <w:keepLines/>
              <w:spacing w:after="280"/>
            </w:pPr>
            <w:r>
              <w:t>Change in Inventory</w:t>
            </w:r>
          </w:p>
        </w:tc>
        <w:tc>
          <w:tcPr>
            <w:tcW w:w="2160" w:type="dxa"/>
            <w:gridSpan w:val="3"/>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2160" w:type="dxa"/>
            <w:gridSpan w:val="3"/>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2160" w:type="dxa"/>
            <w:gridSpan w:val="4"/>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2160" w:type="dxa"/>
            <w:gridSpan w:val="3"/>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2160" w:type="dxa"/>
            <w:gridSpan w:val="3"/>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r>
      <w:tr w:rsidR="0016590F" w:rsidTr="004569D1">
        <w:trPr>
          <w:gridAfter w:val="1"/>
          <w:wAfter w:w="577" w:type="dxa"/>
          <w:cantSplit/>
          <w:jc w:val="center"/>
        </w:trPr>
        <w:tc>
          <w:tcPr>
            <w:tcW w:w="2160" w:type="dxa"/>
            <w:gridSpan w:val="2"/>
            <w:tcBorders>
              <w:top w:val="nil"/>
              <w:left w:val="nil"/>
              <w:bottom w:val="nil"/>
              <w:right w:val="nil"/>
              <w:tl2br w:val="nil"/>
              <w:tr2bl w:val="nil"/>
            </w:tcBorders>
            <w:shd w:val="clear" w:color="auto" w:fill="auto"/>
            <w:tcMar>
              <w:top w:w="60" w:type="dxa"/>
              <w:left w:w="160" w:type="dxa"/>
              <w:bottom w:w="100" w:type="dxa"/>
              <w:right w:w="0" w:type="dxa"/>
            </w:tcMar>
            <w:vAlign w:val="center"/>
          </w:tcPr>
          <w:p w:rsidR="004B110F" w:rsidRDefault="001B78B5" w:rsidP="00460C2C">
            <w:pPr>
              <w:pStyle w:val="AppendixFinancialTableGroupItem"/>
              <w:keepNext/>
              <w:keepLines/>
              <w:spacing w:after="280"/>
            </w:pPr>
            <w:r>
              <w:t>Change in Accounts Payable</w:t>
            </w: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2160" w:type="dxa"/>
            <w:gridSpan w:val="4"/>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€0</w:t>
            </w:r>
          </w:p>
        </w:tc>
      </w:tr>
      <w:tr w:rsidR="0016590F" w:rsidTr="00000037">
        <w:trPr>
          <w:gridAfter w:val="1"/>
          <w:wAfter w:w="577" w:type="dxa"/>
          <w:cantSplit/>
          <w:jc w:val="center"/>
        </w:trPr>
        <w:tc>
          <w:tcPr>
            <w:tcW w:w="2160" w:type="dxa"/>
            <w:gridSpan w:val="2"/>
            <w:tcBorders>
              <w:top w:val="nil"/>
              <w:left w:val="nil"/>
              <w:bottom w:val="nil"/>
              <w:right w:val="nil"/>
              <w:tl2br w:val="nil"/>
              <w:tr2bl w:val="nil"/>
            </w:tcBorders>
            <w:shd w:val="clear" w:color="auto" w:fill="D0CECE" w:themeFill="background2" w:themeFillShade="E6"/>
            <w:tcMar>
              <w:top w:w="60" w:type="dxa"/>
              <w:left w:w="160" w:type="dxa"/>
              <w:bottom w:w="100" w:type="dxa"/>
              <w:right w:w="0" w:type="dxa"/>
            </w:tcMar>
            <w:vAlign w:val="center"/>
          </w:tcPr>
          <w:p w:rsidR="004B110F" w:rsidRDefault="001B78B5" w:rsidP="00460C2C">
            <w:pPr>
              <w:pStyle w:val="AppendixFinancialTableGroupItem"/>
              <w:keepNext/>
              <w:keepLines/>
              <w:spacing w:after="280"/>
            </w:pPr>
            <w:r>
              <w:t>Change in Income Tax Payable</w:t>
            </w:r>
          </w:p>
        </w:tc>
        <w:tc>
          <w:tcPr>
            <w:tcW w:w="2160" w:type="dxa"/>
            <w:gridSpan w:val="3"/>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€2,563,312</w:t>
            </w:r>
          </w:p>
        </w:tc>
        <w:tc>
          <w:tcPr>
            <w:tcW w:w="2160" w:type="dxa"/>
            <w:gridSpan w:val="3"/>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€4,371,030</w:t>
            </w:r>
          </w:p>
        </w:tc>
        <w:tc>
          <w:tcPr>
            <w:tcW w:w="2160" w:type="dxa"/>
            <w:gridSpan w:val="4"/>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€8,551,458</w:t>
            </w:r>
          </w:p>
        </w:tc>
        <w:tc>
          <w:tcPr>
            <w:tcW w:w="2160" w:type="dxa"/>
            <w:gridSpan w:val="3"/>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€16,250,449</w:t>
            </w:r>
          </w:p>
        </w:tc>
        <w:tc>
          <w:tcPr>
            <w:tcW w:w="2160" w:type="dxa"/>
            <w:gridSpan w:val="3"/>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€47,835,586</w:t>
            </w:r>
          </w:p>
        </w:tc>
      </w:tr>
      <w:tr w:rsidR="0016590F" w:rsidTr="004569D1">
        <w:trPr>
          <w:gridAfter w:val="1"/>
          <w:wAfter w:w="577" w:type="dxa"/>
          <w:cantSplit/>
          <w:jc w:val="center"/>
        </w:trPr>
        <w:tc>
          <w:tcPr>
            <w:tcW w:w="2160" w:type="dxa"/>
            <w:gridSpan w:val="2"/>
            <w:tcBorders>
              <w:top w:val="nil"/>
              <w:left w:val="nil"/>
              <w:bottom w:val="nil"/>
              <w:right w:val="nil"/>
              <w:tl2br w:val="nil"/>
              <w:tr2bl w:val="nil"/>
            </w:tcBorders>
            <w:shd w:val="clear" w:color="auto" w:fill="auto"/>
            <w:tcMar>
              <w:top w:w="60" w:type="dxa"/>
              <w:left w:w="160" w:type="dxa"/>
              <w:bottom w:w="100" w:type="dxa"/>
              <w:right w:w="0" w:type="dxa"/>
            </w:tcMar>
            <w:vAlign w:val="center"/>
          </w:tcPr>
          <w:p w:rsidR="004B110F" w:rsidRDefault="001B78B5" w:rsidP="00460C2C">
            <w:pPr>
              <w:pStyle w:val="AppendixFinancialTableGroupItem"/>
              <w:keepNext/>
              <w:keepLines/>
              <w:spacing w:after="280"/>
            </w:pPr>
            <w:r>
              <w:t>Change in Sales Tax Payable</w:t>
            </w: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€724,800</w:t>
            </w: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€425,398</w:t>
            </w:r>
          </w:p>
        </w:tc>
        <w:tc>
          <w:tcPr>
            <w:tcW w:w="2160" w:type="dxa"/>
            <w:gridSpan w:val="4"/>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€928,159</w:t>
            </w: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€1,755,701</w:t>
            </w: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€4,578,257</w:t>
            </w:r>
          </w:p>
        </w:tc>
      </w:tr>
      <w:tr w:rsidR="0016590F" w:rsidTr="00000037">
        <w:trPr>
          <w:gridAfter w:val="1"/>
          <w:wAfter w:w="577" w:type="dxa"/>
          <w:cantSplit/>
          <w:jc w:val="center"/>
        </w:trPr>
        <w:tc>
          <w:tcPr>
            <w:tcW w:w="2160" w:type="dxa"/>
            <w:gridSpan w:val="2"/>
            <w:tcBorders>
              <w:top w:val="nil"/>
              <w:left w:val="nil"/>
              <w:bottom w:val="nil"/>
              <w:right w:val="nil"/>
              <w:tl2br w:val="nil"/>
              <w:tr2bl w:val="nil"/>
            </w:tcBorders>
            <w:shd w:val="clear" w:color="auto" w:fill="D0CECE" w:themeFill="background2" w:themeFillShade="E6"/>
            <w:tcMar>
              <w:top w:w="60" w:type="dxa"/>
              <w:left w:w="160" w:type="dxa"/>
              <w:bottom w:w="100" w:type="dxa"/>
              <w:right w:w="0" w:type="dxa"/>
            </w:tcMar>
            <w:vAlign w:val="center"/>
          </w:tcPr>
          <w:p w:rsidR="004B110F" w:rsidRDefault="001B78B5" w:rsidP="00460C2C">
            <w:pPr>
              <w:pStyle w:val="AppendixFinancialTableGroupItem"/>
              <w:keepNext/>
              <w:keepLines/>
              <w:spacing w:after="280"/>
            </w:pPr>
            <w:r>
              <w:t>Change in Prepaid Revenue</w:t>
            </w:r>
          </w:p>
        </w:tc>
        <w:tc>
          <w:tcPr>
            <w:tcW w:w="2160" w:type="dxa"/>
            <w:gridSpan w:val="3"/>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2160" w:type="dxa"/>
            <w:gridSpan w:val="3"/>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2160" w:type="dxa"/>
            <w:gridSpan w:val="4"/>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2160" w:type="dxa"/>
            <w:gridSpan w:val="3"/>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2160" w:type="dxa"/>
            <w:gridSpan w:val="3"/>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r>
      <w:tr w:rsidR="0016590F" w:rsidTr="00000037">
        <w:trPr>
          <w:gridAfter w:val="1"/>
          <w:wAfter w:w="577" w:type="dxa"/>
          <w:cantSplit/>
          <w:jc w:val="center"/>
        </w:trPr>
        <w:tc>
          <w:tcPr>
            <w:tcW w:w="2160" w:type="dxa"/>
            <w:gridSpan w:val="2"/>
            <w:tcBorders>
              <w:top w:val="nil"/>
              <w:left w:val="nil"/>
              <w:bottom w:val="single" w:sz="8" w:space="0" w:color="000000"/>
              <w:right w:val="nil"/>
              <w:tl2br w:val="nil"/>
              <w:tr2bl w:val="nil"/>
            </w:tcBorders>
            <w:shd w:val="clear" w:color="auto" w:fill="9CC2E5" w:themeFill="accent5" w:themeFillTint="99"/>
            <w:tcMar>
              <w:top w:w="60" w:type="dxa"/>
              <w:left w:w="0" w:type="dxa"/>
              <w:bottom w:w="100" w:type="dxa"/>
              <w:right w:w="0" w:type="dxa"/>
            </w:tcMar>
            <w:vAlign w:val="center"/>
          </w:tcPr>
          <w:p w:rsidR="004B110F" w:rsidRDefault="001B78B5" w:rsidP="00460C2C">
            <w:pPr>
              <w:pStyle w:val="AppendixFinancialTableGroupFooter"/>
              <w:keepNext/>
              <w:keepLines/>
              <w:spacing w:after="280"/>
            </w:pPr>
            <w:r>
              <w:t>Net Cash Flow from Operations</w:t>
            </w:r>
          </w:p>
        </w:tc>
        <w:tc>
          <w:tcPr>
            <w:tcW w:w="2160" w:type="dxa"/>
            <w:gridSpan w:val="3"/>
            <w:tcBorders>
              <w:top w:val="nil"/>
              <w:left w:val="nil"/>
              <w:bottom w:val="single" w:sz="8" w:space="0" w:color="000000"/>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€8,553,199</w:t>
            </w:r>
          </w:p>
        </w:tc>
        <w:tc>
          <w:tcPr>
            <w:tcW w:w="2160" w:type="dxa"/>
            <w:gridSpan w:val="3"/>
            <w:tcBorders>
              <w:top w:val="nil"/>
              <w:left w:val="nil"/>
              <w:bottom w:val="single" w:sz="8" w:space="0" w:color="000000"/>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€18,220,366</w:t>
            </w:r>
          </w:p>
        </w:tc>
        <w:tc>
          <w:tcPr>
            <w:tcW w:w="2160" w:type="dxa"/>
            <w:gridSpan w:val="4"/>
            <w:tcBorders>
              <w:top w:val="nil"/>
              <w:left w:val="nil"/>
              <w:bottom w:val="single" w:sz="8" w:space="0" w:color="000000"/>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€38,857,121</w:t>
            </w:r>
          </w:p>
        </w:tc>
        <w:tc>
          <w:tcPr>
            <w:tcW w:w="2160" w:type="dxa"/>
            <w:gridSpan w:val="3"/>
            <w:tcBorders>
              <w:top w:val="nil"/>
              <w:left w:val="nil"/>
              <w:bottom w:val="single" w:sz="8" w:space="0" w:color="000000"/>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€77,621,476</w:t>
            </w:r>
          </w:p>
        </w:tc>
        <w:tc>
          <w:tcPr>
            <w:tcW w:w="2160" w:type="dxa"/>
            <w:gridSpan w:val="3"/>
            <w:tcBorders>
              <w:top w:val="nil"/>
              <w:left w:val="nil"/>
              <w:bottom w:val="single" w:sz="8" w:space="0" w:color="000000"/>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€200,940,958</w:t>
            </w:r>
          </w:p>
        </w:tc>
      </w:tr>
      <w:tr w:rsidR="0016590F" w:rsidTr="00000037">
        <w:trPr>
          <w:gridAfter w:val="1"/>
          <w:wAfter w:w="577" w:type="dxa"/>
          <w:cantSplit/>
          <w:jc w:val="center"/>
        </w:trPr>
        <w:tc>
          <w:tcPr>
            <w:tcW w:w="2160" w:type="dxa"/>
            <w:gridSpan w:val="2"/>
            <w:tcBorders>
              <w:top w:val="nil"/>
              <w:left w:val="nil"/>
              <w:bottom w:val="nil"/>
              <w:right w:val="nil"/>
              <w:tl2br w:val="nil"/>
              <w:tr2bl w:val="nil"/>
            </w:tcBorders>
            <w:shd w:val="clear" w:color="auto" w:fill="FFE599" w:themeFill="accent4" w:themeFillTint="66"/>
            <w:tcMar>
              <w:top w:w="60" w:type="dxa"/>
              <w:left w:w="0" w:type="dxa"/>
              <w:bottom w:w="100" w:type="dxa"/>
              <w:right w:w="0" w:type="dxa"/>
            </w:tcMar>
            <w:vAlign w:val="center"/>
          </w:tcPr>
          <w:p w:rsidR="004B110F" w:rsidRDefault="001B78B5" w:rsidP="00460C2C">
            <w:pPr>
              <w:pStyle w:val="AppendixFinancialTableGroupHeader"/>
              <w:keepNext/>
              <w:keepLines/>
              <w:spacing w:after="280"/>
            </w:pPr>
            <w:r>
              <w:t>Investing &amp; Financing</w:t>
            </w:r>
          </w:p>
        </w:tc>
        <w:tc>
          <w:tcPr>
            <w:tcW w:w="2160" w:type="dxa"/>
            <w:gridSpan w:val="3"/>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2160" w:type="dxa"/>
            <w:gridSpan w:val="3"/>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2160" w:type="dxa"/>
            <w:gridSpan w:val="4"/>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2160" w:type="dxa"/>
            <w:gridSpan w:val="3"/>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c>
          <w:tcPr>
            <w:tcW w:w="2160" w:type="dxa"/>
            <w:gridSpan w:val="3"/>
            <w:tcBorders>
              <w:top w:val="nil"/>
              <w:left w:val="nil"/>
              <w:bottom w:val="nil"/>
              <w:right w:val="nil"/>
              <w:tl2br w:val="nil"/>
              <w:tr2bl w:val="nil"/>
            </w:tcBorders>
            <w:shd w:val="clear" w:color="auto" w:fill="FFE599" w:themeFill="accent4" w:themeFillTint="66"/>
            <w:noWrap/>
            <w:tcMar>
              <w:top w:w="60" w:type="dxa"/>
              <w:left w:w="0" w:type="dxa"/>
              <w:bottom w:w="100" w:type="dxa"/>
              <w:right w:w="0" w:type="dxa"/>
            </w:tcMar>
            <w:vAlign w:val="center"/>
          </w:tcPr>
          <w:p w:rsidR="004B110F" w:rsidRDefault="004B110F" w:rsidP="00460C2C">
            <w:pPr>
              <w:pStyle w:val="AppendixFinancialTableGroupHeader"/>
              <w:keepNext/>
              <w:keepLines/>
              <w:spacing w:after="280"/>
            </w:pPr>
          </w:p>
        </w:tc>
      </w:tr>
      <w:tr w:rsidR="0016590F" w:rsidTr="004569D1">
        <w:trPr>
          <w:gridAfter w:val="1"/>
          <w:wAfter w:w="577" w:type="dxa"/>
          <w:cantSplit/>
          <w:jc w:val="center"/>
        </w:trPr>
        <w:tc>
          <w:tcPr>
            <w:tcW w:w="2160" w:type="dxa"/>
            <w:gridSpan w:val="2"/>
            <w:tcBorders>
              <w:top w:val="nil"/>
              <w:left w:val="nil"/>
              <w:bottom w:val="nil"/>
              <w:right w:val="nil"/>
              <w:tl2br w:val="nil"/>
              <w:tr2bl w:val="nil"/>
            </w:tcBorders>
            <w:shd w:val="clear" w:color="auto" w:fill="auto"/>
            <w:tcMar>
              <w:top w:w="60" w:type="dxa"/>
              <w:left w:w="160" w:type="dxa"/>
              <w:bottom w:w="100" w:type="dxa"/>
              <w:right w:w="0" w:type="dxa"/>
            </w:tcMar>
            <w:vAlign w:val="center"/>
          </w:tcPr>
          <w:p w:rsidR="004B110F" w:rsidRDefault="001B78B5" w:rsidP="00460C2C">
            <w:pPr>
              <w:pStyle w:val="AppendixFinancialTableGroupItem"/>
              <w:keepNext/>
              <w:keepLines/>
              <w:spacing w:after="280"/>
            </w:pPr>
            <w:r>
              <w:t>Assets Purchased or Sold</w:t>
            </w: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(€6,506,000)</w:t>
            </w: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(€470,000)</w:t>
            </w:r>
          </w:p>
        </w:tc>
        <w:tc>
          <w:tcPr>
            <w:tcW w:w="2160" w:type="dxa"/>
            <w:gridSpan w:val="4"/>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(€485,000)</w:t>
            </w: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(€510,000)</w:t>
            </w: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(€540,000)</w:t>
            </w:r>
          </w:p>
        </w:tc>
      </w:tr>
      <w:tr w:rsidR="0016590F" w:rsidTr="00000037">
        <w:trPr>
          <w:gridAfter w:val="1"/>
          <w:wAfter w:w="577" w:type="dxa"/>
          <w:cantSplit/>
          <w:jc w:val="center"/>
        </w:trPr>
        <w:tc>
          <w:tcPr>
            <w:tcW w:w="2160" w:type="dxa"/>
            <w:gridSpan w:val="2"/>
            <w:tcBorders>
              <w:top w:val="nil"/>
              <w:left w:val="nil"/>
              <w:bottom w:val="nil"/>
              <w:right w:val="nil"/>
              <w:tl2br w:val="nil"/>
              <w:tr2bl w:val="nil"/>
            </w:tcBorders>
            <w:shd w:val="clear" w:color="auto" w:fill="D0CECE" w:themeFill="background2" w:themeFillShade="E6"/>
            <w:tcMar>
              <w:top w:w="60" w:type="dxa"/>
              <w:left w:w="160" w:type="dxa"/>
              <w:bottom w:w="100" w:type="dxa"/>
              <w:right w:w="0" w:type="dxa"/>
            </w:tcMar>
            <w:vAlign w:val="center"/>
          </w:tcPr>
          <w:p w:rsidR="004B110F" w:rsidRDefault="001B78B5" w:rsidP="00460C2C">
            <w:pPr>
              <w:pStyle w:val="AppendixFinancialTableGroupItem"/>
              <w:keepNext/>
              <w:keepLines/>
              <w:spacing w:after="280"/>
            </w:pPr>
            <w:r>
              <w:t>Investments Received</w:t>
            </w:r>
          </w:p>
        </w:tc>
        <w:tc>
          <w:tcPr>
            <w:tcW w:w="2160" w:type="dxa"/>
            <w:gridSpan w:val="3"/>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1B78B5" w:rsidP="00460C2C">
            <w:pPr>
              <w:pStyle w:val="AppendixFinancialTableGroupItem"/>
              <w:keepNext/>
              <w:keepLines/>
              <w:spacing w:after="280"/>
            </w:pPr>
            <w:r>
              <w:t>€100,000,000</w:t>
            </w:r>
          </w:p>
        </w:tc>
        <w:tc>
          <w:tcPr>
            <w:tcW w:w="2160" w:type="dxa"/>
            <w:gridSpan w:val="3"/>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2160" w:type="dxa"/>
            <w:gridSpan w:val="4"/>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2160" w:type="dxa"/>
            <w:gridSpan w:val="3"/>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2160" w:type="dxa"/>
            <w:gridSpan w:val="3"/>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r>
      <w:tr w:rsidR="0016590F" w:rsidTr="004569D1">
        <w:trPr>
          <w:gridAfter w:val="1"/>
          <w:wAfter w:w="577" w:type="dxa"/>
          <w:cantSplit/>
          <w:jc w:val="center"/>
        </w:trPr>
        <w:tc>
          <w:tcPr>
            <w:tcW w:w="2160" w:type="dxa"/>
            <w:gridSpan w:val="2"/>
            <w:tcBorders>
              <w:top w:val="nil"/>
              <w:left w:val="nil"/>
              <w:bottom w:val="nil"/>
              <w:right w:val="nil"/>
              <w:tl2br w:val="nil"/>
              <w:tr2bl w:val="nil"/>
            </w:tcBorders>
            <w:shd w:val="clear" w:color="auto" w:fill="auto"/>
            <w:tcMar>
              <w:top w:w="60" w:type="dxa"/>
              <w:left w:w="160" w:type="dxa"/>
              <w:bottom w:w="100" w:type="dxa"/>
              <w:right w:w="0" w:type="dxa"/>
            </w:tcMar>
            <w:vAlign w:val="center"/>
          </w:tcPr>
          <w:p w:rsidR="004B110F" w:rsidRDefault="001B78B5" w:rsidP="00460C2C">
            <w:pPr>
              <w:pStyle w:val="AppendixFinancialTableGroupItem"/>
              <w:keepNext/>
              <w:keepLines/>
              <w:spacing w:after="280"/>
            </w:pPr>
            <w:r>
              <w:t>Change in Long-Term Debt</w:t>
            </w: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2160" w:type="dxa"/>
            <w:gridSpan w:val="4"/>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r>
      <w:tr w:rsidR="0016590F" w:rsidTr="00000037">
        <w:trPr>
          <w:gridAfter w:val="1"/>
          <w:wAfter w:w="577" w:type="dxa"/>
          <w:cantSplit/>
          <w:jc w:val="center"/>
        </w:trPr>
        <w:tc>
          <w:tcPr>
            <w:tcW w:w="2160" w:type="dxa"/>
            <w:gridSpan w:val="2"/>
            <w:tcBorders>
              <w:top w:val="nil"/>
              <w:left w:val="nil"/>
              <w:bottom w:val="nil"/>
              <w:right w:val="nil"/>
              <w:tl2br w:val="nil"/>
              <w:tr2bl w:val="nil"/>
            </w:tcBorders>
            <w:shd w:val="clear" w:color="auto" w:fill="D0CECE" w:themeFill="background2" w:themeFillShade="E6"/>
            <w:tcMar>
              <w:top w:w="60" w:type="dxa"/>
              <w:left w:w="160" w:type="dxa"/>
              <w:bottom w:w="100" w:type="dxa"/>
              <w:right w:w="0" w:type="dxa"/>
            </w:tcMar>
            <w:vAlign w:val="center"/>
          </w:tcPr>
          <w:p w:rsidR="004B110F" w:rsidRDefault="001B78B5" w:rsidP="00460C2C">
            <w:pPr>
              <w:pStyle w:val="AppendixFinancialTableGroupItem"/>
              <w:keepNext/>
              <w:keepLines/>
              <w:spacing w:after="280"/>
            </w:pPr>
            <w:r>
              <w:t>Change in Short-Term Debt</w:t>
            </w:r>
          </w:p>
        </w:tc>
        <w:tc>
          <w:tcPr>
            <w:tcW w:w="2160" w:type="dxa"/>
            <w:gridSpan w:val="3"/>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2160" w:type="dxa"/>
            <w:gridSpan w:val="3"/>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2160" w:type="dxa"/>
            <w:gridSpan w:val="4"/>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2160" w:type="dxa"/>
            <w:gridSpan w:val="3"/>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2160" w:type="dxa"/>
            <w:gridSpan w:val="3"/>
            <w:tcBorders>
              <w:top w:val="nil"/>
              <w:left w:val="nil"/>
              <w:bottom w:val="nil"/>
              <w:right w:val="nil"/>
              <w:tl2br w:val="nil"/>
              <w:tr2bl w:val="nil"/>
            </w:tcBorders>
            <w:shd w:val="clear" w:color="auto" w:fill="D0CECE" w:themeFill="background2" w:themeFillShade="E6"/>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r>
      <w:tr w:rsidR="0016590F" w:rsidTr="004569D1">
        <w:trPr>
          <w:gridAfter w:val="1"/>
          <w:wAfter w:w="577" w:type="dxa"/>
          <w:cantSplit/>
          <w:jc w:val="center"/>
        </w:trPr>
        <w:tc>
          <w:tcPr>
            <w:tcW w:w="2160" w:type="dxa"/>
            <w:gridSpan w:val="2"/>
            <w:tcBorders>
              <w:top w:val="nil"/>
              <w:left w:val="nil"/>
              <w:bottom w:val="nil"/>
              <w:right w:val="nil"/>
              <w:tl2br w:val="nil"/>
              <w:tr2bl w:val="nil"/>
            </w:tcBorders>
            <w:shd w:val="clear" w:color="auto" w:fill="auto"/>
            <w:tcMar>
              <w:top w:w="60" w:type="dxa"/>
              <w:left w:w="160" w:type="dxa"/>
              <w:bottom w:w="100" w:type="dxa"/>
              <w:right w:w="0" w:type="dxa"/>
            </w:tcMar>
            <w:vAlign w:val="center"/>
          </w:tcPr>
          <w:p w:rsidR="004B110F" w:rsidRDefault="001B78B5" w:rsidP="00460C2C">
            <w:pPr>
              <w:pStyle w:val="AppendixFinancialTableGroupItem"/>
              <w:keepNext/>
              <w:keepLines/>
              <w:spacing w:after="280"/>
            </w:pPr>
            <w:r>
              <w:t>Dividends &amp; Distributions</w:t>
            </w: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2160" w:type="dxa"/>
            <w:gridSpan w:val="4"/>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c>
          <w:tcPr>
            <w:tcW w:w="2160" w:type="dxa"/>
            <w:gridSpan w:val="3"/>
            <w:tcBorders>
              <w:top w:val="nil"/>
              <w:left w:val="nil"/>
              <w:bottom w:val="nil"/>
              <w:right w:val="nil"/>
              <w:tl2br w:val="nil"/>
              <w:tr2bl w:val="nil"/>
            </w:tcBorders>
            <w:shd w:val="clear" w:color="auto" w:fill="auto"/>
            <w:noWrap/>
            <w:tcMar>
              <w:top w:w="60" w:type="dxa"/>
              <w:left w:w="160" w:type="dxa"/>
              <w:bottom w:w="100" w:type="dxa"/>
              <w:right w:w="0" w:type="dxa"/>
            </w:tcMar>
            <w:vAlign w:val="center"/>
          </w:tcPr>
          <w:p w:rsidR="004B110F" w:rsidRDefault="004B110F" w:rsidP="00460C2C">
            <w:pPr>
              <w:pStyle w:val="AppendixFinancialTableGroupItem"/>
              <w:keepNext/>
              <w:keepLines/>
              <w:spacing w:after="280"/>
            </w:pPr>
          </w:p>
        </w:tc>
      </w:tr>
      <w:tr w:rsidR="0016590F" w:rsidTr="00000037">
        <w:trPr>
          <w:gridAfter w:val="1"/>
          <w:wAfter w:w="577" w:type="dxa"/>
          <w:cantSplit/>
          <w:jc w:val="center"/>
        </w:trPr>
        <w:tc>
          <w:tcPr>
            <w:tcW w:w="2160" w:type="dxa"/>
            <w:gridSpan w:val="2"/>
            <w:tcBorders>
              <w:top w:val="nil"/>
              <w:left w:val="nil"/>
              <w:bottom w:val="single" w:sz="8" w:space="0" w:color="000000"/>
              <w:right w:val="nil"/>
              <w:tl2br w:val="nil"/>
              <w:tr2bl w:val="nil"/>
            </w:tcBorders>
            <w:shd w:val="clear" w:color="auto" w:fill="9CC2E5" w:themeFill="accent5" w:themeFillTint="99"/>
            <w:tcMar>
              <w:top w:w="60" w:type="dxa"/>
              <w:left w:w="0" w:type="dxa"/>
              <w:bottom w:w="100" w:type="dxa"/>
              <w:right w:w="0" w:type="dxa"/>
            </w:tcMar>
            <w:vAlign w:val="center"/>
          </w:tcPr>
          <w:p w:rsidR="004B110F" w:rsidRDefault="001B78B5" w:rsidP="00460C2C">
            <w:pPr>
              <w:pStyle w:val="AppendixFinancialTableGroupFooter"/>
              <w:keepNext/>
              <w:keepLines/>
              <w:spacing w:after="280"/>
            </w:pPr>
            <w:r>
              <w:t>Net Cash Flow from Investing &amp; Financing</w:t>
            </w:r>
          </w:p>
        </w:tc>
        <w:tc>
          <w:tcPr>
            <w:tcW w:w="2160" w:type="dxa"/>
            <w:gridSpan w:val="3"/>
            <w:tcBorders>
              <w:top w:val="nil"/>
              <w:left w:val="nil"/>
              <w:bottom w:val="single" w:sz="8" w:space="0" w:color="000000"/>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€93,494,000</w:t>
            </w:r>
          </w:p>
        </w:tc>
        <w:tc>
          <w:tcPr>
            <w:tcW w:w="2160" w:type="dxa"/>
            <w:gridSpan w:val="3"/>
            <w:tcBorders>
              <w:top w:val="nil"/>
              <w:left w:val="nil"/>
              <w:bottom w:val="single" w:sz="8" w:space="0" w:color="000000"/>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(€470,000)</w:t>
            </w:r>
          </w:p>
        </w:tc>
        <w:tc>
          <w:tcPr>
            <w:tcW w:w="2160" w:type="dxa"/>
            <w:gridSpan w:val="4"/>
            <w:tcBorders>
              <w:top w:val="nil"/>
              <w:left w:val="nil"/>
              <w:bottom w:val="single" w:sz="8" w:space="0" w:color="000000"/>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(€485,000)</w:t>
            </w:r>
          </w:p>
        </w:tc>
        <w:tc>
          <w:tcPr>
            <w:tcW w:w="2160" w:type="dxa"/>
            <w:gridSpan w:val="3"/>
            <w:tcBorders>
              <w:top w:val="nil"/>
              <w:left w:val="nil"/>
              <w:bottom w:val="single" w:sz="8" w:space="0" w:color="000000"/>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(€510,000)</w:t>
            </w:r>
          </w:p>
        </w:tc>
        <w:tc>
          <w:tcPr>
            <w:tcW w:w="2160" w:type="dxa"/>
            <w:gridSpan w:val="3"/>
            <w:tcBorders>
              <w:top w:val="nil"/>
              <w:left w:val="nil"/>
              <w:bottom w:val="single" w:sz="8" w:space="0" w:color="000000"/>
              <w:right w:val="nil"/>
              <w:tl2br w:val="nil"/>
              <w:tr2bl w:val="nil"/>
            </w:tcBorders>
            <w:shd w:val="clear" w:color="auto" w:fill="9CC2E5" w:themeFill="accent5"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(€540,000)</w:t>
            </w:r>
          </w:p>
        </w:tc>
      </w:tr>
      <w:tr w:rsidR="0016590F" w:rsidTr="004569D1">
        <w:trPr>
          <w:gridAfter w:val="1"/>
          <w:wAfter w:w="577" w:type="dxa"/>
          <w:cantSplit/>
          <w:jc w:val="center"/>
        </w:trPr>
        <w:tc>
          <w:tcPr>
            <w:tcW w:w="2160" w:type="dxa"/>
            <w:gridSpan w:val="2"/>
            <w:tcBorders>
              <w:top w:val="nil"/>
              <w:left w:val="nil"/>
              <w:bottom w:val="nil"/>
              <w:right w:val="nil"/>
              <w:tl2br w:val="nil"/>
              <w:tr2bl w:val="nil"/>
            </w:tcBorders>
            <w:shd w:val="clear" w:color="auto" w:fill="auto"/>
            <w:tcMar>
              <w:top w:w="60" w:type="dxa"/>
              <w:left w:w="0" w:type="dxa"/>
              <w:bottom w:w="100" w:type="dxa"/>
              <w:right w:w="0" w:type="dxa"/>
            </w:tcMar>
            <w:vAlign w:val="center"/>
          </w:tcPr>
          <w:p w:rsidR="004B110F" w:rsidRDefault="001B78B5" w:rsidP="00460C2C">
            <w:pPr>
              <w:pStyle w:val="AppendixFinancialTableItem"/>
              <w:keepNext/>
              <w:keepLines/>
              <w:spacing w:after="280"/>
            </w:pPr>
            <w:r>
              <w:t>Cash at Beginning of Period</w:t>
            </w:r>
          </w:p>
        </w:tc>
        <w:tc>
          <w:tcPr>
            <w:tcW w:w="2160" w:type="dxa"/>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€0</w:t>
            </w:r>
          </w:p>
        </w:tc>
        <w:tc>
          <w:tcPr>
            <w:tcW w:w="2160" w:type="dxa"/>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€102,047,199</w:t>
            </w:r>
          </w:p>
        </w:tc>
        <w:tc>
          <w:tcPr>
            <w:tcW w:w="2160" w:type="dxa"/>
            <w:gridSpan w:val="4"/>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€119,797,564</w:t>
            </w:r>
          </w:p>
        </w:tc>
        <w:tc>
          <w:tcPr>
            <w:tcW w:w="2160" w:type="dxa"/>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€158,169,685</w:t>
            </w:r>
          </w:p>
        </w:tc>
        <w:tc>
          <w:tcPr>
            <w:tcW w:w="2160" w:type="dxa"/>
            <w:gridSpan w:val="3"/>
            <w:tcBorders>
              <w:top w:val="nil"/>
              <w:left w:val="nil"/>
              <w:bottom w:val="nil"/>
              <w:right w:val="nil"/>
              <w:tl2br w:val="nil"/>
              <w:tr2bl w:val="nil"/>
            </w:tcBorders>
            <w:shd w:val="clear" w:color="auto" w:fill="auto"/>
            <w:noWrap/>
            <w:tcMar>
              <w:top w:w="60" w:type="dxa"/>
              <w:left w:w="0" w:type="dxa"/>
              <w:bottom w:w="100" w:type="dxa"/>
              <w:right w:w="0" w:type="dxa"/>
            </w:tcMar>
            <w:vAlign w:val="center"/>
          </w:tcPr>
          <w:p w:rsidR="004B110F" w:rsidRDefault="001B78B5" w:rsidP="00460C2C">
            <w:pPr>
              <w:pStyle w:val="AppendixFinancialTableItem"/>
              <w:keepNext/>
              <w:keepLines/>
              <w:spacing w:after="280"/>
            </w:pPr>
            <w:r>
              <w:t>€235,281,161</w:t>
            </w:r>
          </w:p>
        </w:tc>
      </w:tr>
      <w:tr w:rsidR="0016590F" w:rsidTr="00000037">
        <w:trPr>
          <w:gridAfter w:val="1"/>
          <w:wAfter w:w="577" w:type="dxa"/>
          <w:cantSplit/>
          <w:jc w:val="center"/>
        </w:trPr>
        <w:tc>
          <w:tcPr>
            <w:tcW w:w="2160" w:type="dxa"/>
            <w:gridSpan w:val="2"/>
            <w:tcBorders>
              <w:top w:val="nil"/>
              <w:left w:val="nil"/>
              <w:bottom w:val="nil"/>
              <w:right w:val="nil"/>
              <w:tl2br w:val="nil"/>
              <w:tr2bl w:val="nil"/>
            </w:tcBorders>
            <w:shd w:val="clear" w:color="auto" w:fill="FFD966" w:themeFill="accent4" w:themeFillTint="99"/>
            <w:tcMar>
              <w:top w:w="60" w:type="dxa"/>
              <w:left w:w="0" w:type="dxa"/>
              <w:bottom w:w="100" w:type="dxa"/>
              <w:right w:w="0" w:type="dxa"/>
            </w:tcMar>
            <w:vAlign w:val="center"/>
          </w:tcPr>
          <w:p w:rsidR="004B110F" w:rsidRDefault="001B78B5" w:rsidP="00460C2C">
            <w:pPr>
              <w:pStyle w:val="AppendixFinancialTableItem"/>
              <w:keepNext/>
              <w:keepLines/>
              <w:spacing w:after="280"/>
            </w:pPr>
            <w:r>
              <w:t>Net Change in Cash</w:t>
            </w:r>
          </w:p>
        </w:tc>
        <w:tc>
          <w:tcPr>
            <w:tcW w:w="2160" w:type="dxa"/>
            <w:gridSpan w:val="3"/>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Item"/>
              <w:keepNext/>
              <w:keepLines/>
              <w:spacing w:after="280"/>
            </w:pPr>
            <w:r>
              <w:t>€102,047,199</w:t>
            </w:r>
          </w:p>
        </w:tc>
        <w:tc>
          <w:tcPr>
            <w:tcW w:w="2160" w:type="dxa"/>
            <w:gridSpan w:val="3"/>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Item"/>
              <w:keepNext/>
              <w:keepLines/>
              <w:spacing w:after="280"/>
            </w:pPr>
            <w:r>
              <w:t>€17,750,366</w:t>
            </w:r>
          </w:p>
        </w:tc>
        <w:tc>
          <w:tcPr>
            <w:tcW w:w="2160" w:type="dxa"/>
            <w:gridSpan w:val="4"/>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Item"/>
              <w:keepNext/>
              <w:keepLines/>
              <w:spacing w:after="280"/>
            </w:pPr>
            <w:r>
              <w:t>€38,372,121</w:t>
            </w:r>
          </w:p>
        </w:tc>
        <w:tc>
          <w:tcPr>
            <w:tcW w:w="2160" w:type="dxa"/>
            <w:gridSpan w:val="3"/>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Item"/>
              <w:keepNext/>
              <w:keepLines/>
              <w:spacing w:after="280"/>
            </w:pPr>
            <w:r>
              <w:t>€77,111,476</w:t>
            </w:r>
          </w:p>
        </w:tc>
        <w:tc>
          <w:tcPr>
            <w:tcW w:w="2160" w:type="dxa"/>
            <w:gridSpan w:val="3"/>
            <w:tcBorders>
              <w:top w:val="nil"/>
              <w:left w:val="nil"/>
              <w:bottom w:val="nil"/>
              <w:right w:val="nil"/>
              <w:tl2br w:val="nil"/>
              <w:tr2bl w:val="nil"/>
            </w:tcBorders>
            <w:shd w:val="clear" w:color="auto" w:fill="FFD966" w:themeFill="accent4" w:themeFillTint="99"/>
            <w:noWrap/>
            <w:tcMar>
              <w:top w:w="60" w:type="dxa"/>
              <w:left w:w="0" w:type="dxa"/>
              <w:bottom w:w="100" w:type="dxa"/>
              <w:right w:w="0" w:type="dxa"/>
            </w:tcMar>
            <w:vAlign w:val="center"/>
          </w:tcPr>
          <w:p w:rsidR="004B110F" w:rsidRDefault="001B78B5" w:rsidP="00460C2C">
            <w:pPr>
              <w:pStyle w:val="AppendixFinancialTableItem"/>
              <w:keepNext/>
              <w:keepLines/>
              <w:spacing w:after="280"/>
            </w:pPr>
            <w:r>
              <w:t>€200,400,958</w:t>
            </w:r>
          </w:p>
        </w:tc>
      </w:tr>
      <w:tr w:rsidR="0016590F" w:rsidTr="00000037">
        <w:trPr>
          <w:gridAfter w:val="1"/>
          <w:wAfter w:w="577" w:type="dxa"/>
          <w:cantSplit/>
          <w:jc w:val="center"/>
        </w:trPr>
        <w:tc>
          <w:tcPr>
            <w:tcW w:w="2160" w:type="dxa"/>
            <w:gridSpan w:val="2"/>
            <w:tcBorders>
              <w:top w:val="nil"/>
              <w:left w:val="nil"/>
              <w:bottom w:val="single" w:sz="8" w:space="0" w:color="000000"/>
              <w:right w:val="nil"/>
              <w:tl2br w:val="nil"/>
              <w:tr2bl w:val="nil"/>
            </w:tcBorders>
            <w:shd w:val="clear" w:color="auto" w:fill="A8D08D" w:themeFill="accent6" w:themeFillTint="99"/>
            <w:tcMar>
              <w:top w:w="60" w:type="dxa"/>
              <w:left w:w="0" w:type="dxa"/>
              <w:bottom w:w="100" w:type="dxa"/>
              <w:right w:w="0" w:type="dxa"/>
            </w:tcMar>
            <w:vAlign w:val="center"/>
          </w:tcPr>
          <w:p w:rsidR="004B110F" w:rsidRDefault="001B78B5" w:rsidP="00460C2C">
            <w:pPr>
              <w:pStyle w:val="AppendixFinancialTableGroupFooter"/>
              <w:keepNext/>
              <w:keepLines/>
              <w:spacing w:after="280"/>
            </w:pPr>
            <w:r>
              <w:t>Cash at End of Period</w:t>
            </w:r>
          </w:p>
        </w:tc>
        <w:tc>
          <w:tcPr>
            <w:tcW w:w="2160" w:type="dxa"/>
            <w:gridSpan w:val="3"/>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€102,047,199</w:t>
            </w:r>
          </w:p>
        </w:tc>
        <w:tc>
          <w:tcPr>
            <w:tcW w:w="2160" w:type="dxa"/>
            <w:gridSpan w:val="3"/>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€119,797,564</w:t>
            </w:r>
          </w:p>
        </w:tc>
        <w:tc>
          <w:tcPr>
            <w:tcW w:w="2160" w:type="dxa"/>
            <w:gridSpan w:val="4"/>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€158,169,685</w:t>
            </w:r>
          </w:p>
        </w:tc>
        <w:tc>
          <w:tcPr>
            <w:tcW w:w="2160" w:type="dxa"/>
            <w:gridSpan w:val="3"/>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€235,281,161</w:t>
            </w:r>
          </w:p>
        </w:tc>
        <w:tc>
          <w:tcPr>
            <w:tcW w:w="2160" w:type="dxa"/>
            <w:gridSpan w:val="3"/>
            <w:tcBorders>
              <w:top w:val="nil"/>
              <w:left w:val="nil"/>
              <w:bottom w:val="single" w:sz="8" w:space="0" w:color="000000"/>
              <w:right w:val="nil"/>
              <w:tl2br w:val="nil"/>
              <w:tr2bl w:val="nil"/>
            </w:tcBorders>
            <w:shd w:val="clear" w:color="auto" w:fill="A8D08D" w:themeFill="accent6" w:themeFillTint="99"/>
            <w:noWrap/>
            <w:tcMar>
              <w:top w:w="60" w:type="dxa"/>
              <w:left w:w="0" w:type="dxa"/>
              <w:bottom w:w="100" w:type="dxa"/>
              <w:right w:w="0" w:type="dxa"/>
            </w:tcMar>
            <w:vAlign w:val="center"/>
          </w:tcPr>
          <w:p w:rsidR="004B110F" w:rsidRDefault="001B78B5" w:rsidP="00460C2C">
            <w:pPr>
              <w:pStyle w:val="AppendixFinancialTableGroupFooter"/>
              <w:keepNext/>
              <w:keepLines/>
              <w:spacing w:after="280"/>
            </w:pPr>
            <w:r>
              <w:t>€435,682,118</w:t>
            </w:r>
          </w:p>
        </w:tc>
      </w:tr>
    </w:tbl>
    <w:p w:rsidR="001A62E5" w:rsidRDefault="00CC2C6E" w:rsidP="00460C2C">
      <w:pPr>
        <w:rPr>
          <w:rFonts w:ascii="Trebuchet MS" w:hAnsi="Trebuchet MS"/>
          <w:b/>
          <w:sz w:val="44"/>
          <w:szCs w:val="44"/>
        </w:rPr>
      </w:pPr>
      <w:bookmarkStart w:id="104" w:name="LastPageBookmark"/>
      <w:bookmarkEnd w:id="104"/>
      <w:r>
        <w:rPr>
          <w:b/>
          <w:sz w:val="32"/>
          <w:szCs w:val="32"/>
        </w:rPr>
        <w:br/>
      </w:r>
    </w:p>
    <w:p w:rsidR="001A62E5" w:rsidRDefault="001A62E5" w:rsidP="00460C2C">
      <w:pPr>
        <w:rPr>
          <w:rFonts w:ascii="Trebuchet MS" w:hAnsi="Trebuchet MS"/>
          <w:b/>
          <w:sz w:val="44"/>
          <w:szCs w:val="44"/>
        </w:rPr>
      </w:pPr>
      <w:r>
        <w:rPr>
          <w:rFonts w:ascii="Trebuchet MS" w:hAnsi="Trebuchet MS"/>
          <w:b/>
          <w:sz w:val="44"/>
          <w:szCs w:val="44"/>
        </w:rPr>
        <w:br w:type="page"/>
      </w:r>
    </w:p>
    <w:tbl>
      <w:tblPr>
        <w:tblStyle w:val="Grigliatabella"/>
        <w:tblW w:w="0" w:type="auto"/>
        <w:tblBorders>
          <w:top w:val="none" w:sz="0" w:space="0" w:color="auto"/>
          <w:left w:val="none" w:sz="0" w:space="0" w:color="auto"/>
          <w:bottom w:val="single" w:sz="12" w:space="0" w:color="018BB3"/>
          <w:right w:val="none" w:sz="0" w:space="0" w:color="auto"/>
          <w:insideH w:val="single" w:sz="12" w:space="0" w:color="018BB3"/>
          <w:insideV w:val="single" w:sz="12" w:space="0" w:color="018BB3"/>
        </w:tblBorders>
        <w:tblCellMar>
          <w:top w:w="288" w:type="dxa"/>
          <w:left w:w="115" w:type="dxa"/>
          <w:bottom w:w="288" w:type="dxa"/>
          <w:right w:w="115" w:type="dxa"/>
        </w:tblCellMar>
        <w:tblLook w:val="04A0" w:firstRow="1" w:lastRow="0" w:firstColumn="1" w:lastColumn="0" w:noHBand="0" w:noVBand="1"/>
      </w:tblPr>
      <w:tblGrid>
        <w:gridCol w:w="12960"/>
      </w:tblGrid>
      <w:tr w:rsidR="009A6B16" w:rsidTr="009A6B16">
        <w:tc>
          <w:tcPr>
            <w:tcW w:w="13176" w:type="dxa"/>
          </w:tcPr>
          <w:p w:rsidR="009A6B16" w:rsidRDefault="009A6B16" w:rsidP="00460C2C">
            <w:pPr>
              <w:pStyle w:val="Titolo1"/>
            </w:pPr>
            <w:bookmarkStart w:id="105" w:name="_Toc523440011"/>
            <w:r w:rsidRPr="00857B72">
              <w:rPr>
                <w:rFonts w:ascii="Franklin Gothic Demi" w:hAnsi="Franklin Gothic Demi"/>
                <w:color w:val="018BB3"/>
                <w:spacing w:val="26"/>
              </w:rPr>
              <w:lastRenderedPageBreak/>
              <w:t>Token Risk Factors</w:t>
            </w:r>
            <w:bookmarkEnd w:id="105"/>
          </w:p>
        </w:tc>
      </w:tr>
    </w:tbl>
    <w:p w:rsidR="003C15AA" w:rsidRDefault="00987EC3" w:rsidP="00460C2C">
      <w:pPr>
        <w:pStyle w:val="Titolo2"/>
        <w:rPr>
          <w:rFonts w:ascii="Franklin Gothic Demi" w:eastAsia="Times New Roman" w:hAnsi="Franklin Gothic Demi" w:cs="Times New Roman"/>
          <w:b w:val="0"/>
          <w:bCs w:val="0"/>
          <w:iCs w:val="0"/>
          <w:color w:val="018BB3"/>
          <w:spacing w:val="26"/>
          <w:szCs w:val="36"/>
        </w:rPr>
      </w:pPr>
      <w:bookmarkStart w:id="106" w:name="_Toc523440012"/>
      <w:r w:rsidRPr="003C15AA">
        <w:rPr>
          <w:rFonts w:ascii="Franklin Gothic Demi" w:eastAsia="Times New Roman" w:hAnsi="Franklin Gothic Demi" w:cs="Times New Roman"/>
          <w:b w:val="0"/>
          <w:bCs w:val="0"/>
          <w:iCs w:val="0"/>
          <w:color w:val="018BB3"/>
          <w:spacing w:val="26"/>
          <w:szCs w:val="36"/>
        </w:rPr>
        <w:t>Risk Factors Relating to Pur</w:t>
      </w:r>
      <w:r w:rsidR="00CC2C6E" w:rsidRPr="003C15AA">
        <w:rPr>
          <w:rFonts w:ascii="Franklin Gothic Demi" w:eastAsia="Times New Roman" w:hAnsi="Franklin Gothic Demi" w:cs="Times New Roman"/>
          <w:b w:val="0"/>
          <w:bCs w:val="0"/>
          <w:iCs w:val="0"/>
          <w:color w:val="018BB3"/>
          <w:spacing w:val="26"/>
          <w:szCs w:val="36"/>
        </w:rPr>
        <w:t>chase, Sale, and Use of Tokens</w:t>
      </w:r>
      <w:bookmarkEnd w:id="106"/>
    </w:p>
    <w:p w:rsidR="00987EC3" w:rsidRDefault="00987EC3" w:rsidP="00460C2C">
      <w:pPr>
        <w:rPr>
          <w:rFonts w:asciiTheme="majorHAnsi" w:hAnsiTheme="majorHAnsi"/>
        </w:rPr>
      </w:pPr>
      <w:r w:rsidRPr="000E733A">
        <w:rPr>
          <w:rFonts w:asciiTheme="majorHAnsi" w:hAnsiTheme="majorHAnsi"/>
        </w:rPr>
        <w:t>Important note:the company expressly disclaims</w:t>
      </w:r>
      <w:r w:rsidR="00254787" w:rsidRPr="000E733A">
        <w:rPr>
          <w:rFonts w:asciiTheme="majorHAnsi" w:hAnsiTheme="majorHAnsi"/>
        </w:rPr>
        <w:t xml:space="preserve"> a</w:t>
      </w:r>
      <w:r w:rsidRPr="000E733A">
        <w:rPr>
          <w:rFonts w:asciiTheme="majorHAnsi" w:hAnsiTheme="majorHAnsi"/>
        </w:rPr>
        <w:t xml:space="preserve">ny and all responsibility for any direct or consequential loss or damage of any kind whatsoever arising directly or indirectly from: (i) reliance on any information contained the whitepaper and all associated materials, including this document, (ii) any error, omission or inaccuracy in any such information or (iii) any action resulting from such information.  </w:t>
      </w:r>
    </w:p>
    <w:p w:rsidR="000E733A" w:rsidRPr="000E733A" w:rsidRDefault="000E733A" w:rsidP="00460C2C">
      <w:pPr>
        <w:rPr>
          <w:rFonts w:asciiTheme="majorHAnsi" w:hAnsiTheme="majorHAnsi"/>
        </w:rPr>
      </w:pPr>
    </w:p>
    <w:p w:rsidR="00987EC3" w:rsidRPr="009A6B16" w:rsidRDefault="00987EC3" w:rsidP="00460C2C">
      <w:pPr>
        <w:rPr>
          <w:rFonts w:asciiTheme="majorHAnsi" w:hAnsiTheme="majorHAnsi"/>
        </w:rPr>
      </w:pPr>
      <w:r w:rsidRPr="009A6B16">
        <w:rPr>
          <w:rFonts w:asciiTheme="majorHAnsi" w:hAnsiTheme="majorHAnsi"/>
        </w:rPr>
        <w:t xml:space="preserve">By purchasing, owning, and using Tokens, you expressly acknowledge and assume the following risks: </w:t>
      </w:r>
    </w:p>
    <w:p w:rsidR="00987EC3" w:rsidRPr="009A6B16" w:rsidRDefault="00987EC3" w:rsidP="00460C2C">
      <w:pPr>
        <w:rPr>
          <w:rFonts w:asciiTheme="majorHAnsi" w:hAnsiTheme="majorHAnsi"/>
        </w:rPr>
      </w:pPr>
    </w:p>
    <w:p w:rsidR="00987EC3" w:rsidRPr="009A6B16" w:rsidRDefault="00987EC3" w:rsidP="00460C2C">
      <w:pPr>
        <w:rPr>
          <w:rFonts w:asciiTheme="majorHAnsi" w:hAnsiTheme="majorHAnsi"/>
          <w:b/>
        </w:rPr>
      </w:pPr>
      <w:r w:rsidRPr="009A6B16">
        <w:rPr>
          <w:rFonts w:asciiTheme="majorHAnsi" w:hAnsiTheme="majorHAnsi"/>
          <w:b/>
        </w:rPr>
        <w:t>General Suitability of Token Purchase</w:t>
      </w:r>
    </w:p>
    <w:p w:rsidR="00987EC3" w:rsidRPr="009A6B16" w:rsidRDefault="00987EC3" w:rsidP="00460C2C">
      <w:pPr>
        <w:rPr>
          <w:rFonts w:asciiTheme="majorHAnsi" w:hAnsiTheme="majorHAnsi"/>
        </w:rPr>
      </w:pPr>
      <w:r w:rsidRPr="009A6B16">
        <w:rPr>
          <w:rFonts w:asciiTheme="majorHAnsi" w:hAnsiTheme="majorHAnsi"/>
        </w:rPr>
        <w:t xml:space="preserve">The purchase of tokens from the Company is only suitable for financially sophisticated persons who are capable of evaluating the </w:t>
      </w:r>
      <w:r w:rsidRPr="00A837D9">
        <w:rPr>
          <w:rFonts w:asciiTheme="majorHAnsi" w:hAnsiTheme="majorHAnsi"/>
          <w:noProof/>
        </w:rPr>
        <w:t>merits</w:t>
      </w:r>
      <w:r w:rsidRPr="009A6B16">
        <w:rPr>
          <w:rFonts w:asciiTheme="majorHAnsi" w:hAnsiTheme="majorHAnsi"/>
        </w:rPr>
        <w:t xml:space="preserve"> and risks of such a purchase, or other persons who have been professionally advised with regard to token purchase, and who have sufficient financial resources to be able to bear any losses that may arise therefrom (which may be equal to the whole amount spent in connection with the token purchase). Such a purchase should not be seen as an investment or a financial asset. </w:t>
      </w:r>
    </w:p>
    <w:p w:rsidR="00987EC3" w:rsidRPr="009A6B16" w:rsidRDefault="00987EC3" w:rsidP="00460C2C">
      <w:pPr>
        <w:rPr>
          <w:rFonts w:asciiTheme="majorHAnsi" w:hAnsiTheme="majorHAnsi"/>
        </w:rPr>
      </w:pPr>
    </w:p>
    <w:p w:rsidR="00987EC3" w:rsidRPr="009A6B16" w:rsidRDefault="00987EC3" w:rsidP="00460C2C">
      <w:pPr>
        <w:rPr>
          <w:rFonts w:asciiTheme="majorHAnsi" w:hAnsiTheme="majorHAnsi"/>
          <w:b/>
        </w:rPr>
      </w:pPr>
      <w:r w:rsidRPr="009A6B16">
        <w:rPr>
          <w:rFonts w:asciiTheme="majorHAnsi" w:hAnsiTheme="majorHAnsi"/>
          <w:b/>
        </w:rPr>
        <w:t>Risk of Losing Access to Tokens Due to Loss of Private Key(s), Custodial Error or Purchaser Error</w:t>
      </w:r>
    </w:p>
    <w:p w:rsidR="00987EC3" w:rsidRPr="009A6B16" w:rsidRDefault="00987EC3" w:rsidP="00460C2C">
      <w:pPr>
        <w:rPr>
          <w:rFonts w:asciiTheme="majorHAnsi" w:hAnsiTheme="majorHAnsi"/>
        </w:rPr>
      </w:pPr>
      <w:r w:rsidRPr="009A6B16">
        <w:rPr>
          <w:rFonts w:asciiTheme="majorHAnsi" w:hAnsiTheme="majorHAnsi"/>
        </w:rPr>
        <w:t xml:space="preserve">A private key, or a combination of private keys, is necessary to control and dispose of Tokens stored in your digital wallet or vault. Accordingly, loss of requisite private key(s) associated with your digital wallet or vault storing Tokens will result in loss of such Tokens. Moreover, any third party that gains access to such private key(s), including by gaining access to login credentials of a hosted wallet service you use, may be able to misappropriate your Tokens. Any errors or malfunctions caused by or otherwise related to the digital wallet or vault you choose to receive and store Tokens, including your own failure to properly maintain or use such digital wallet or vault, may also result in the loss of </w:t>
      </w:r>
      <w:r w:rsidRPr="009A6B16">
        <w:rPr>
          <w:rFonts w:asciiTheme="majorHAnsi" w:hAnsiTheme="majorHAnsi"/>
          <w:noProof/>
        </w:rPr>
        <w:t>you</w:t>
      </w:r>
      <w:r w:rsidR="005F12DC" w:rsidRPr="009A6B16">
        <w:rPr>
          <w:rFonts w:asciiTheme="majorHAnsi" w:hAnsiTheme="majorHAnsi"/>
          <w:noProof/>
        </w:rPr>
        <w:t>r</w:t>
      </w:r>
      <w:r w:rsidRPr="009A6B16">
        <w:rPr>
          <w:rFonts w:asciiTheme="majorHAnsi" w:hAnsiTheme="majorHAnsi"/>
        </w:rPr>
        <w:t xml:space="preserve"> Tokens. Additionally, your failure to follow precisely the procedures set forth for buying and receiving Tokens, including, for instance, if you provide the wrong address for the Purchaser Address, or provides an address that is not ERC-20 compatible, may result in the loss of your Tokens.  </w:t>
      </w:r>
    </w:p>
    <w:p w:rsidR="00987EC3" w:rsidRPr="009A6B16" w:rsidRDefault="00987EC3" w:rsidP="00460C2C">
      <w:pPr>
        <w:rPr>
          <w:rFonts w:asciiTheme="majorHAnsi" w:hAnsiTheme="majorHAnsi"/>
        </w:rPr>
      </w:pPr>
    </w:p>
    <w:p w:rsidR="00987EC3" w:rsidRPr="009A6B16" w:rsidRDefault="00987EC3" w:rsidP="00460C2C">
      <w:pPr>
        <w:rPr>
          <w:rFonts w:asciiTheme="majorHAnsi" w:hAnsiTheme="majorHAnsi"/>
          <w:b/>
        </w:rPr>
      </w:pPr>
      <w:r w:rsidRPr="009A6B16">
        <w:rPr>
          <w:rFonts w:asciiTheme="majorHAnsi" w:hAnsiTheme="majorHAnsi"/>
          <w:b/>
        </w:rPr>
        <w:t>Risks Associated with the Ethereum Protocol</w:t>
      </w:r>
    </w:p>
    <w:p w:rsidR="00987EC3" w:rsidRPr="009A6B16" w:rsidRDefault="00987EC3" w:rsidP="00460C2C">
      <w:pPr>
        <w:rPr>
          <w:rFonts w:asciiTheme="majorHAnsi" w:hAnsiTheme="majorHAnsi"/>
        </w:rPr>
      </w:pPr>
      <w:r w:rsidRPr="009A6B16">
        <w:rPr>
          <w:rFonts w:asciiTheme="majorHAnsi" w:hAnsiTheme="majorHAnsi"/>
        </w:rPr>
        <w:t xml:space="preserve">Because Tokens and the Platform are based on the Ethereum protocol, any malfunction, breakdown or abandonment of the Ethereum protocol may have a material adverse effect on the Platform or Tokens. Moreover, advances in cryptography, or technical advances such as the development of quantum computing, could present risks to the Tokens and the Platform, including the utility of the Tokens for obtaining Services, by rendering ineffective the cryptographic consensus mechanism that underpins the Ethereum protocol.  </w:t>
      </w:r>
    </w:p>
    <w:p w:rsidR="00987EC3" w:rsidRPr="009A6B16" w:rsidRDefault="00987EC3" w:rsidP="00460C2C">
      <w:pPr>
        <w:rPr>
          <w:rFonts w:asciiTheme="majorHAnsi" w:hAnsiTheme="majorHAnsi"/>
        </w:rPr>
      </w:pPr>
    </w:p>
    <w:p w:rsidR="00987EC3" w:rsidRPr="009A6B16" w:rsidRDefault="00987EC3" w:rsidP="00460C2C">
      <w:pPr>
        <w:rPr>
          <w:rFonts w:asciiTheme="majorHAnsi" w:hAnsiTheme="majorHAnsi"/>
          <w:b/>
        </w:rPr>
      </w:pPr>
      <w:r w:rsidRPr="009A6B16">
        <w:rPr>
          <w:rFonts w:asciiTheme="majorHAnsi" w:hAnsiTheme="majorHAnsi"/>
          <w:b/>
        </w:rPr>
        <w:t>Risk of Mining Attacks</w:t>
      </w:r>
    </w:p>
    <w:p w:rsidR="00987EC3" w:rsidRPr="009A6B16" w:rsidRDefault="00987EC3" w:rsidP="00460C2C">
      <w:pPr>
        <w:rPr>
          <w:rFonts w:asciiTheme="majorHAnsi" w:hAnsiTheme="majorHAnsi"/>
        </w:rPr>
      </w:pPr>
      <w:r w:rsidRPr="009A6B16">
        <w:rPr>
          <w:rFonts w:asciiTheme="majorHAnsi" w:hAnsiTheme="majorHAnsi"/>
        </w:rPr>
        <w:t xml:space="preserve">As with other decentralized cryptographic tokens based on the Ethereum protocol, the Tokens are susceptible to attacks by miners in the course of validating Token transactions on the Ethereum blockchain, including, but not limited, to double-spend attacks, majority mining power attacks, and selfish-mining attacks. Any successful attacks present a risk to the Platform and the Tokens, including, but not limited to, accurate execution and recording of transactions involving Tokens.  </w:t>
      </w:r>
    </w:p>
    <w:p w:rsidR="00987EC3" w:rsidRPr="009A6B16" w:rsidRDefault="00987EC3" w:rsidP="00460C2C">
      <w:pPr>
        <w:rPr>
          <w:rFonts w:asciiTheme="majorHAnsi" w:hAnsiTheme="majorHAnsi"/>
        </w:rPr>
      </w:pPr>
    </w:p>
    <w:p w:rsidR="00987EC3" w:rsidRPr="009A6B16" w:rsidRDefault="00987EC3" w:rsidP="00460C2C">
      <w:pPr>
        <w:rPr>
          <w:rFonts w:asciiTheme="majorHAnsi" w:hAnsiTheme="majorHAnsi"/>
          <w:b/>
        </w:rPr>
      </w:pPr>
      <w:r w:rsidRPr="009A6B16">
        <w:rPr>
          <w:rFonts w:asciiTheme="majorHAnsi" w:hAnsiTheme="majorHAnsi"/>
          <w:b/>
        </w:rPr>
        <w:t>Risk of Hacking and Security Weaknesses</w:t>
      </w:r>
    </w:p>
    <w:p w:rsidR="00987EC3" w:rsidRPr="009A6B16" w:rsidRDefault="00987EC3" w:rsidP="00460C2C">
      <w:pPr>
        <w:rPr>
          <w:rFonts w:asciiTheme="majorHAnsi" w:hAnsiTheme="majorHAnsi"/>
        </w:rPr>
      </w:pPr>
      <w:r w:rsidRPr="009A6B16">
        <w:rPr>
          <w:rFonts w:asciiTheme="majorHAnsi" w:hAnsiTheme="majorHAnsi"/>
        </w:rPr>
        <w:t xml:space="preserve">Hackers or other malicious groups or organizations may attempt to interfere with the Platform or the Tokens in a variety of ways, including, but not limited to, malware attacks, denial of service attacks, consensus-based attacks, Sybil attacks, smurfing and spoofing. Furthermore, because the Platform is based on opensource software, there is a risk that a third party or a member of the Company team may intentionally or unintentionally introduce weaknesses into the core infrastructure of the Platform, which could negatively affect the Platform and the Tokens, including the utility of the Tokens for obtaining Services. Hackers or other malicious groups </w:t>
      </w:r>
      <w:r w:rsidRPr="009A6B16">
        <w:rPr>
          <w:rFonts w:asciiTheme="majorHAnsi" w:hAnsiTheme="majorHAnsi"/>
          <w:noProof/>
        </w:rPr>
        <w:t>o</w:t>
      </w:r>
      <w:r w:rsidR="005F12DC" w:rsidRPr="009A6B16">
        <w:rPr>
          <w:rFonts w:asciiTheme="majorHAnsi" w:hAnsiTheme="majorHAnsi"/>
          <w:noProof/>
        </w:rPr>
        <w:t>r</w:t>
      </w:r>
      <w:r w:rsidRPr="009A6B16">
        <w:rPr>
          <w:rFonts w:asciiTheme="majorHAnsi" w:hAnsiTheme="majorHAnsi"/>
        </w:rPr>
        <w:t xml:space="preserve"> organizations may also attempt to get access to private keys or other access credentials in the Wallet or any other wallet, vault, or other storage mechanism used to receive and hold Tokens. As the result, the Tokens may be lost forever.</w:t>
      </w:r>
    </w:p>
    <w:p w:rsidR="00987EC3" w:rsidRPr="009A6B16" w:rsidRDefault="00987EC3" w:rsidP="00460C2C">
      <w:pPr>
        <w:rPr>
          <w:rFonts w:asciiTheme="majorHAnsi" w:hAnsiTheme="majorHAnsi"/>
        </w:rPr>
      </w:pPr>
    </w:p>
    <w:p w:rsidR="00987EC3" w:rsidRPr="009A6B16" w:rsidRDefault="00987EC3" w:rsidP="00460C2C">
      <w:pPr>
        <w:rPr>
          <w:rFonts w:asciiTheme="majorHAnsi" w:hAnsiTheme="majorHAnsi"/>
          <w:b/>
        </w:rPr>
      </w:pPr>
      <w:r w:rsidRPr="009A6B16">
        <w:rPr>
          <w:rFonts w:asciiTheme="majorHAnsi" w:hAnsiTheme="majorHAnsi"/>
          <w:b/>
        </w:rPr>
        <w:t>Risks Associated with Markets for Tokens</w:t>
      </w:r>
    </w:p>
    <w:p w:rsidR="00987EC3" w:rsidRPr="009A6B16" w:rsidRDefault="00987EC3" w:rsidP="00460C2C">
      <w:pPr>
        <w:rPr>
          <w:rFonts w:asciiTheme="majorHAnsi" w:hAnsiTheme="majorHAnsi"/>
        </w:rPr>
      </w:pPr>
      <w:r w:rsidRPr="009A6B16">
        <w:rPr>
          <w:rFonts w:asciiTheme="majorHAnsi" w:hAnsiTheme="majorHAnsi"/>
        </w:rPr>
        <w:t>The Tokens are intended to be used solely within the Platform, and Company will not support or otherwise facilitate any secondary trading or external valuation of Tokens. This restricts the contemplated avenues for using Tokens to the provision or receipt of Services, and could</w:t>
      </w:r>
      <w:r w:rsidR="005F12DC" w:rsidRPr="009A6B16">
        <w:rPr>
          <w:rFonts w:asciiTheme="majorHAnsi" w:hAnsiTheme="majorHAnsi"/>
        </w:rPr>
        <w:t>, therefore,</w:t>
      </w:r>
      <w:r w:rsidRPr="009A6B16">
        <w:rPr>
          <w:rFonts w:asciiTheme="majorHAnsi" w:hAnsiTheme="majorHAnsi"/>
        </w:rPr>
        <w:t xml:space="preserve"> create illiquidity risk with respect to the Tokens you own. Even if secondary trading of Tokens is facilitated by </w:t>
      </w:r>
      <w:r w:rsidRPr="009A6B16">
        <w:rPr>
          <w:rFonts w:asciiTheme="majorHAnsi" w:hAnsiTheme="majorHAnsi"/>
          <w:noProof/>
        </w:rPr>
        <w:t>third</w:t>
      </w:r>
      <w:r w:rsidR="005F12DC" w:rsidRPr="009A6B16">
        <w:rPr>
          <w:rFonts w:asciiTheme="majorHAnsi" w:hAnsiTheme="majorHAnsi"/>
          <w:noProof/>
        </w:rPr>
        <w:t>-</w:t>
      </w:r>
      <w:r w:rsidRPr="009A6B16">
        <w:rPr>
          <w:rFonts w:asciiTheme="majorHAnsi" w:hAnsiTheme="majorHAnsi"/>
          <w:noProof/>
        </w:rPr>
        <w:t>party</w:t>
      </w:r>
      <w:r w:rsidRPr="009A6B16">
        <w:rPr>
          <w:rFonts w:asciiTheme="majorHAnsi" w:hAnsiTheme="majorHAnsi"/>
        </w:rPr>
        <w:t xml:space="preserve"> exchanges, such exchanges may be relatively new and subject to little or no regulatory oversight, making </w:t>
      </w:r>
      <w:r w:rsidRPr="009A6B16">
        <w:rPr>
          <w:rFonts w:asciiTheme="majorHAnsi" w:hAnsiTheme="majorHAnsi"/>
        </w:rPr>
        <w:lastRenderedPageBreak/>
        <w:t xml:space="preserve">them more susceptible to fraud or manipulation. Furthermore, to the extent that third-parties do ascribe an external exchange value to Tokens (e.g., as denominated in a digital or fiat currency), such value may be extremely volatile and diminish to zero.  </w:t>
      </w:r>
    </w:p>
    <w:p w:rsidR="00987EC3" w:rsidRPr="009A6B16" w:rsidRDefault="00987EC3" w:rsidP="00460C2C">
      <w:pPr>
        <w:rPr>
          <w:rFonts w:asciiTheme="majorHAnsi" w:hAnsiTheme="majorHAnsi"/>
        </w:rPr>
      </w:pPr>
    </w:p>
    <w:p w:rsidR="00987EC3" w:rsidRPr="009A6B16" w:rsidRDefault="00987EC3" w:rsidP="00460C2C">
      <w:pPr>
        <w:rPr>
          <w:rFonts w:asciiTheme="majorHAnsi" w:hAnsiTheme="majorHAnsi"/>
          <w:b/>
        </w:rPr>
      </w:pPr>
      <w:r w:rsidRPr="009A6B16">
        <w:rPr>
          <w:rFonts w:asciiTheme="majorHAnsi" w:hAnsiTheme="majorHAnsi"/>
          <w:b/>
        </w:rPr>
        <w:t>Risk of Uninsured Losses</w:t>
      </w:r>
    </w:p>
    <w:p w:rsidR="00987EC3" w:rsidRPr="009A6B16" w:rsidRDefault="00987EC3" w:rsidP="00460C2C">
      <w:pPr>
        <w:rPr>
          <w:rFonts w:asciiTheme="majorHAnsi" w:hAnsiTheme="majorHAnsi"/>
        </w:rPr>
      </w:pPr>
      <w:r w:rsidRPr="009A6B16">
        <w:rPr>
          <w:rFonts w:asciiTheme="majorHAnsi" w:hAnsiTheme="majorHAnsi"/>
        </w:rPr>
        <w:t xml:space="preserve">Unlike bank accounts or accounts at some other financial institutions, Tokens are uninsured unless you specifically obtain private insurance to insure them. Thus, in the event of loss or loss of utility value, there is no public insurer, such as the Federal Deposit Insurance Corporation, or private insurance arranged by Company, to offer recourse to you.  </w:t>
      </w:r>
    </w:p>
    <w:p w:rsidR="00987EC3" w:rsidRPr="009A6B16" w:rsidRDefault="00987EC3" w:rsidP="00460C2C">
      <w:pPr>
        <w:rPr>
          <w:rFonts w:asciiTheme="majorHAnsi" w:hAnsiTheme="majorHAnsi"/>
        </w:rPr>
      </w:pPr>
    </w:p>
    <w:p w:rsidR="00987EC3" w:rsidRPr="009A6B16" w:rsidRDefault="00987EC3" w:rsidP="00460C2C">
      <w:pPr>
        <w:rPr>
          <w:rFonts w:asciiTheme="majorHAnsi" w:hAnsiTheme="majorHAnsi"/>
          <w:b/>
        </w:rPr>
      </w:pPr>
      <w:r w:rsidRPr="009A6B16">
        <w:rPr>
          <w:rFonts w:asciiTheme="majorHAnsi" w:hAnsiTheme="majorHAnsi"/>
          <w:b/>
        </w:rPr>
        <w:t>Risks Associated with Uncertain Regulations and Enforcement Actions</w:t>
      </w:r>
    </w:p>
    <w:p w:rsidR="00987EC3" w:rsidRPr="009A6B16" w:rsidRDefault="00987EC3" w:rsidP="00460C2C">
      <w:pPr>
        <w:rPr>
          <w:rFonts w:asciiTheme="majorHAnsi" w:hAnsiTheme="majorHAnsi"/>
        </w:rPr>
      </w:pPr>
      <w:r w:rsidRPr="009A6B16">
        <w:rPr>
          <w:rFonts w:asciiTheme="majorHAnsi" w:hAnsiTheme="majorHAnsi"/>
        </w:rPr>
        <w:t>The regulatory status of the Tokens and distributed ledger technology is unclear or unsettled in many jurisdictions. It is difficult to predict how or whether regulatory agencies may apply existing regulation with respect to such technology and its applications, including the Platform and the Tokens. It is likewise difficult to predict how or whether legislatures or regulatory agencies may implement changes to law and regulation affecting distributed ledger technology and its applications, including the Platform and the Tokens. Regulatory actions could negatively impact the Platform and the Tokens in various ways, including, for purposes of illustration only, through a determination that the purchase, sale</w:t>
      </w:r>
      <w:r w:rsidR="005F12DC" w:rsidRPr="00A837D9">
        <w:rPr>
          <w:rFonts w:asciiTheme="majorHAnsi" w:hAnsiTheme="majorHAnsi"/>
          <w:noProof/>
        </w:rPr>
        <w:t>,</w:t>
      </w:r>
      <w:r w:rsidR="00A837D9">
        <w:rPr>
          <w:rFonts w:asciiTheme="majorHAnsi" w:hAnsiTheme="majorHAnsi"/>
          <w:noProof/>
        </w:rPr>
        <w:t xml:space="preserve"> </w:t>
      </w:r>
      <w:r w:rsidRPr="00A837D9">
        <w:rPr>
          <w:rFonts w:asciiTheme="majorHAnsi" w:hAnsiTheme="majorHAnsi"/>
          <w:noProof/>
        </w:rPr>
        <w:t>and</w:t>
      </w:r>
      <w:r w:rsidRPr="009A6B16">
        <w:rPr>
          <w:rFonts w:asciiTheme="majorHAnsi" w:hAnsiTheme="majorHAnsi"/>
        </w:rPr>
        <w:t xml:space="preserve"> delivery of the Tokens constitutes unlawful activity or that the Tokens are a regulated instrument that </w:t>
      </w:r>
      <w:r w:rsidRPr="009A6B16">
        <w:rPr>
          <w:rFonts w:asciiTheme="majorHAnsi" w:hAnsiTheme="majorHAnsi"/>
          <w:noProof/>
        </w:rPr>
        <w:t>require</w:t>
      </w:r>
      <w:r w:rsidR="005F12DC" w:rsidRPr="009A6B16">
        <w:rPr>
          <w:rFonts w:asciiTheme="majorHAnsi" w:hAnsiTheme="majorHAnsi"/>
          <w:noProof/>
        </w:rPr>
        <w:t>s</w:t>
      </w:r>
      <w:r w:rsidRPr="009A6B16">
        <w:rPr>
          <w:rFonts w:asciiTheme="majorHAnsi" w:hAnsiTheme="majorHAnsi"/>
        </w:rPr>
        <w:t xml:space="preserve"> registration or licensing of those instruments or some or all of the parties </w:t>
      </w:r>
      <w:r w:rsidRPr="007208E6">
        <w:rPr>
          <w:rFonts w:asciiTheme="majorHAnsi" w:hAnsiTheme="majorHAnsi"/>
          <w:noProof/>
        </w:rPr>
        <w:t>involv</w:t>
      </w:r>
      <w:r w:rsidR="007208E6">
        <w:rPr>
          <w:rFonts w:asciiTheme="majorHAnsi" w:hAnsiTheme="majorHAnsi"/>
          <w:noProof/>
        </w:rPr>
        <w:t>ed</w:t>
      </w:r>
      <w:r w:rsidRPr="009A6B16">
        <w:rPr>
          <w:rFonts w:asciiTheme="majorHAnsi" w:hAnsiTheme="majorHAnsi"/>
        </w:rPr>
        <w:t xml:space="preserve"> in the purchase, sale</w:t>
      </w:r>
      <w:r w:rsidR="005F12DC" w:rsidRPr="00A837D9">
        <w:rPr>
          <w:rFonts w:asciiTheme="majorHAnsi" w:hAnsiTheme="majorHAnsi"/>
          <w:noProof/>
        </w:rPr>
        <w:t>,</w:t>
      </w:r>
      <w:r w:rsidR="00A837D9">
        <w:rPr>
          <w:rFonts w:asciiTheme="majorHAnsi" w:hAnsiTheme="majorHAnsi"/>
          <w:noProof/>
        </w:rPr>
        <w:t xml:space="preserve"> </w:t>
      </w:r>
      <w:r w:rsidRPr="00A837D9">
        <w:rPr>
          <w:rFonts w:asciiTheme="majorHAnsi" w:hAnsiTheme="majorHAnsi"/>
          <w:noProof/>
        </w:rPr>
        <w:t>and</w:t>
      </w:r>
      <w:r w:rsidRPr="009A6B16">
        <w:rPr>
          <w:rFonts w:asciiTheme="majorHAnsi" w:hAnsiTheme="majorHAnsi"/>
        </w:rPr>
        <w:t xml:space="preserve"> delivery thereof. </w:t>
      </w:r>
      <w:r w:rsidR="005F12DC" w:rsidRPr="009A6B16">
        <w:rPr>
          <w:rFonts w:asciiTheme="majorHAnsi" w:hAnsiTheme="majorHAnsi"/>
          <w:noProof/>
        </w:rPr>
        <w:t>The c</w:t>
      </w:r>
      <w:r w:rsidRPr="009A6B16">
        <w:rPr>
          <w:rFonts w:asciiTheme="majorHAnsi" w:hAnsiTheme="majorHAnsi"/>
          <w:noProof/>
        </w:rPr>
        <w:t>ompany</w:t>
      </w:r>
      <w:r w:rsidRPr="009A6B16">
        <w:rPr>
          <w:rFonts w:asciiTheme="majorHAnsi" w:hAnsiTheme="majorHAnsi"/>
        </w:rPr>
        <w:t xml:space="preserve"> may cease operations in a jurisdiction in the event that regulatory actions, or changes to law or regulation, make it illegal to operate in such jurisdiction, or commercially undesirable to obtain the necessary regulatory approval(s) to operate in such jurisdiction.  </w:t>
      </w:r>
    </w:p>
    <w:p w:rsidR="00987EC3" w:rsidRPr="009A6B16" w:rsidRDefault="00987EC3" w:rsidP="00460C2C">
      <w:pPr>
        <w:rPr>
          <w:rFonts w:asciiTheme="majorHAnsi" w:hAnsiTheme="majorHAnsi"/>
        </w:rPr>
      </w:pPr>
    </w:p>
    <w:p w:rsidR="00987EC3" w:rsidRPr="009A6B16" w:rsidRDefault="00987EC3" w:rsidP="00460C2C">
      <w:pPr>
        <w:rPr>
          <w:rFonts w:asciiTheme="majorHAnsi" w:hAnsiTheme="majorHAnsi"/>
          <w:b/>
        </w:rPr>
      </w:pPr>
      <w:r w:rsidRPr="009A6B16">
        <w:rPr>
          <w:rFonts w:asciiTheme="majorHAnsi" w:hAnsiTheme="majorHAnsi"/>
          <w:b/>
        </w:rPr>
        <w:t>Risks Arising from Taxation</w:t>
      </w:r>
    </w:p>
    <w:p w:rsidR="009A6B16" w:rsidRPr="00D8640C" w:rsidRDefault="00987EC3" w:rsidP="00460C2C">
      <w:pPr>
        <w:rPr>
          <w:rFonts w:asciiTheme="majorHAnsi" w:hAnsiTheme="majorHAnsi"/>
        </w:rPr>
      </w:pPr>
      <w:r w:rsidRPr="009A6B16">
        <w:rPr>
          <w:rFonts w:asciiTheme="majorHAnsi" w:hAnsiTheme="majorHAnsi"/>
        </w:rPr>
        <w:t xml:space="preserve">The tax characterization of Tokens is uncertain. You must seek your own tax advice in connection with purchasing Tokens, which may result in adverse tax consequences to you, including withholding taxes, income taxes and tax reporting requirements.  In addition, the proceeds of the Token sale (which include any </w:t>
      </w:r>
      <w:r w:rsidRPr="007208E6">
        <w:rPr>
          <w:rFonts w:asciiTheme="majorHAnsi" w:hAnsiTheme="majorHAnsi"/>
          <w:noProof/>
        </w:rPr>
        <w:t>moneys</w:t>
      </w:r>
      <w:r w:rsidRPr="009A6B16">
        <w:rPr>
          <w:rFonts w:asciiTheme="majorHAnsi" w:hAnsiTheme="majorHAnsi"/>
        </w:rPr>
        <w:t xml:space="preserve"> that purchaser has paid for the Tokens) may be taxable to the Company, which may adversely affect financial resources available to the Company, Company’s business and the Company's ability to achieve its business objectives.</w:t>
      </w:r>
    </w:p>
    <w:p w:rsidR="009A6B16" w:rsidRDefault="009A6B16" w:rsidP="00460C2C">
      <w:pPr>
        <w:rPr>
          <w:rFonts w:asciiTheme="majorHAnsi" w:hAnsiTheme="majorHAnsi"/>
          <w:b/>
        </w:rPr>
      </w:pPr>
    </w:p>
    <w:p w:rsidR="00987EC3" w:rsidRPr="009A6B16" w:rsidRDefault="00987EC3" w:rsidP="00460C2C">
      <w:pPr>
        <w:rPr>
          <w:rFonts w:asciiTheme="majorHAnsi" w:hAnsiTheme="majorHAnsi"/>
          <w:b/>
        </w:rPr>
      </w:pPr>
      <w:r w:rsidRPr="009A6B16">
        <w:rPr>
          <w:rFonts w:asciiTheme="majorHAnsi" w:hAnsiTheme="majorHAnsi"/>
          <w:b/>
        </w:rPr>
        <w:t>Risk of Competing Platforms</w:t>
      </w:r>
    </w:p>
    <w:p w:rsidR="00987EC3" w:rsidRPr="009A6B16" w:rsidRDefault="00987EC3" w:rsidP="00460C2C">
      <w:pPr>
        <w:rPr>
          <w:rFonts w:asciiTheme="majorHAnsi" w:hAnsiTheme="majorHAnsi"/>
        </w:rPr>
      </w:pPr>
      <w:r w:rsidRPr="009A6B16">
        <w:rPr>
          <w:rFonts w:asciiTheme="majorHAnsi" w:hAnsiTheme="majorHAnsi"/>
        </w:rPr>
        <w:lastRenderedPageBreak/>
        <w:t xml:space="preserve">It is possible that alternative Platforms could be established that utilize the same open source code and protocol underlying the Platform and attempt to facilitate services that are materially similar to the Services. The Platform may compete with these alternatives, which could negatively impact the Platform and Tokens, including the utility of the Tokens for obtaining Services.  </w:t>
      </w:r>
    </w:p>
    <w:p w:rsidR="00987EC3" w:rsidRPr="009A6B16" w:rsidRDefault="00987EC3" w:rsidP="00460C2C">
      <w:pPr>
        <w:rPr>
          <w:rFonts w:asciiTheme="majorHAnsi" w:hAnsiTheme="majorHAnsi"/>
        </w:rPr>
      </w:pPr>
    </w:p>
    <w:p w:rsidR="00987EC3" w:rsidRPr="009A6B16" w:rsidRDefault="00987EC3" w:rsidP="00460C2C">
      <w:pPr>
        <w:rPr>
          <w:rFonts w:asciiTheme="majorHAnsi" w:hAnsiTheme="majorHAnsi"/>
          <w:b/>
        </w:rPr>
      </w:pPr>
      <w:r w:rsidRPr="009A6B16">
        <w:rPr>
          <w:rFonts w:asciiTheme="majorHAnsi" w:hAnsiTheme="majorHAnsi"/>
          <w:b/>
        </w:rPr>
        <w:t>Risk of Insufficient Interest in the Platform or Distributed Applications</w:t>
      </w:r>
    </w:p>
    <w:p w:rsidR="00987EC3" w:rsidRPr="009A6B16" w:rsidRDefault="00987EC3" w:rsidP="00460C2C">
      <w:pPr>
        <w:rPr>
          <w:rFonts w:asciiTheme="majorHAnsi" w:hAnsiTheme="majorHAnsi"/>
        </w:rPr>
      </w:pPr>
      <w:r w:rsidRPr="009A6B16">
        <w:rPr>
          <w:rFonts w:asciiTheme="majorHAnsi" w:hAnsiTheme="majorHAnsi"/>
        </w:rPr>
        <w:t xml:space="preserve">It is possible that the Platform will not be used by a large number of individuals, companies and other entities or that there will be limited public interest in the creation and development of distributed Platforms (such as the Platform) more generally. Such a lack of use or interest could negatively impact the development of the Platform and therefore the potential utility of the Tokens, including the utility of the Tokens for obtaining Services.  </w:t>
      </w:r>
    </w:p>
    <w:p w:rsidR="00987EC3" w:rsidRPr="009A6B16" w:rsidRDefault="00987EC3" w:rsidP="00460C2C">
      <w:pPr>
        <w:rPr>
          <w:rFonts w:asciiTheme="majorHAnsi" w:hAnsiTheme="majorHAnsi"/>
        </w:rPr>
      </w:pPr>
    </w:p>
    <w:p w:rsidR="00987EC3" w:rsidRPr="009A6B16" w:rsidRDefault="00987EC3" w:rsidP="00460C2C">
      <w:pPr>
        <w:rPr>
          <w:rFonts w:asciiTheme="majorHAnsi" w:hAnsiTheme="majorHAnsi"/>
          <w:b/>
        </w:rPr>
      </w:pPr>
      <w:r w:rsidRPr="009A6B16">
        <w:rPr>
          <w:rFonts w:asciiTheme="majorHAnsi" w:hAnsiTheme="majorHAnsi"/>
          <w:b/>
        </w:rPr>
        <w:t>Risks Associated with the Development and Maintenance of the Platform</w:t>
      </w:r>
    </w:p>
    <w:p w:rsidR="00987EC3" w:rsidRPr="009A6B16" w:rsidRDefault="00987EC3" w:rsidP="00460C2C">
      <w:pPr>
        <w:rPr>
          <w:rFonts w:asciiTheme="majorHAnsi" w:hAnsiTheme="majorHAnsi"/>
        </w:rPr>
      </w:pPr>
      <w:r w:rsidRPr="009A6B16">
        <w:rPr>
          <w:rFonts w:asciiTheme="majorHAnsi" w:hAnsiTheme="majorHAnsi"/>
        </w:rPr>
        <w:t xml:space="preserve">The Platform is still under development and may undergo significant changes over time. Although Company intends for the Tokens and Platform to function as described in the Whitepaper, and intends to take commercially reasonable steps toward those ends, Company may have to make changes to the specifications of the Tokens or Platform for any number of legitimate reasons. Moreover, Company has no control over how other participants will use the Platform, what products or services will be offered through the Platform by third parties, or how third-party products and services will utilize Tokens (if at all). This could create the risk that the Tokens or Platform, as further developed and maintained, may not meet your expectations at the time of purchase. Furthermore, despite Company’s good faith efforts to develop and participate in the Platform, it is still possible that the Platform will experience malfunctions or otherwise fail to be adequately developed or maintained, which may negatively impact the Platform and Tokens, and the potential utility of the Tokens, including the utility of the Tokens for obtaining Services.  </w:t>
      </w:r>
    </w:p>
    <w:p w:rsidR="00987EC3" w:rsidRPr="009A6B16" w:rsidRDefault="00987EC3" w:rsidP="00460C2C">
      <w:pPr>
        <w:rPr>
          <w:rFonts w:asciiTheme="majorHAnsi" w:hAnsiTheme="majorHAnsi"/>
        </w:rPr>
      </w:pPr>
    </w:p>
    <w:p w:rsidR="00987EC3" w:rsidRPr="009A6B16" w:rsidRDefault="00987EC3" w:rsidP="00460C2C">
      <w:pPr>
        <w:rPr>
          <w:rFonts w:asciiTheme="majorHAnsi" w:hAnsiTheme="majorHAnsi"/>
        </w:rPr>
      </w:pPr>
      <w:r w:rsidRPr="009A6B16">
        <w:rPr>
          <w:rFonts w:asciiTheme="majorHAnsi" w:hAnsiTheme="majorHAnsi"/>
        </w:rPr>
        <w:t xml:space="preserve">Risk of an Unfavorable Fluctuation of ETH, BTC or Other Coin Value If the value of ETH, BTC or other coins fluctuates unfavorably during or after the Token sale, the Company team may not be able to fund development, or may not be able to develop or maintain the Platform in the manner that </w:t>
      </w:r>
      <w:r w:rsidRPr="009A6B16">
        <w:rPr>
          <w:rFonts w:asciiTheme="majorHAnsi" w:hAnsiTheme="majorHAnsi"/>
          <w:noProof/>
        </w:rPr>
        <w:t>it</w:t>
      </w:r>
      <w:r w:rsidR="005F12DC" w:rsidRPr="009A6B16">
        <w:rPr>
          <w:rFonts w:asciiTheme="majorHAnsi" w:hAnsiTheme="majorHAnsi"/>
        </w:rPr>
        <w:t xml:space="preserve">is </w:t>
      </w:r>
      <w:r w:rsidRPr="009A6B16">
        <w:rPr>
          <w:rFonts w:asciiTheme="majorHAnsi" w:hAnsiTheme="majorHAnsi"/>
        </w:rPr>
        <w:t>intended. In addition to the usual market forces, there are several potential events which could exacerbate the risk of unfavorable fluctuation in the value of ETH, BTC or other coins, including another DAO-like attack on the Ethereum network, or significant security incidents or market irregularities at one or more of the major cryptocurrency exchanges.</w:t>
      </w:r>
    </w:p>
    <w:p w:rsidR="00987EC3" w:rsidRPr="009A6B16" w:rsidRDefault="00987EC3" w:rsidP="00460C2C">
      <w:pPr>
        <w:rPr>
          <w:rFonts w:asciiTheme="majorHAnsi" w:hAnsiTheme="majorHAnsi"/>
        </w:rPr>
      </w:pPr>
      <w:r w:rsidRPr="009A6B16">
        <w:rPr>
          <w:rFonts w:asciiTheme="majorHAnsi" w:hAnsiTheme="majorHAnsi"/>
        </w:rPr>
        <w:t>Risk of Dissolution of the Company or Platform</w:t>
      </w:r>
    </w:p>
    <w:p w:rsidR="00987EC3" w:rsidRPr="009A6B16" w:rsidRDefault="00987EC3" w:rsidP="00460C2C">
      <w:pPr>
        <w:rPr>
          <w:rFonts w:asciiTheme="majorHAnsi" w:hAnsiTheme="majorHAnsi"/>
        </w:rPr>
      </w:pPr>
      <w:r w:rsidRPr="009A6B16">
        <w:rPr>
          <w:rFonts w:asciiTheme="majorHAnsi" w:hAnsiTheme="majorHAnsi"/>
        </w:rPr>
        <w:t xml:space="preserve">It is possible that, due to any number of reasons, including, but not limited to, an unfavorable fluctuation in the value of ETH, BTC or ICOCOIN (or other cryptographic and fiat currencies), decrease in the Tokens’ utility (including their utility for obtaining Services), the </w:t>
      </w:r>
      <w:r w:rsidRPr="009A6B16">
        <w:rPr>
          <w:rFonts w:asciiTheme="majorHAnsi" w:hAnsiTheme="majorHAnsi"/>
        </w:rPr>
        <w:lastRenderedPageBreak/>
        <w:t xml:space="preserve">failure of commercial relationships, or intellectual property ownership challenges, the Platform may no longer be viable to operate or the Company may dissolve.  </w:t>
      </w:r>
    </w:p>
    <w:p w:rsidR="00987EC3" w:rsidRPr="009A6B16" w:rsidRDefault="00987EC3" w:rsidP="00460C2C">
      <w:pPr>
        <w:rPr>
          <w:rFonts w:asciiTheme="majorHAnsi" w:hAnsiTheme="majorHAnsi"/>
        </w:rPr>
      </w:pPr>
    </w:p>
    <w:p w:rsidR="00987EC3" w:rsidRPr="009A6B16" w:rsidRDefault="00987EC3" w:rsidP="00460C2C">
      <w:pPr>
        <w:rPr>
          <w:rFonts w:asciiTheme="majorHAnsi" w:hAnsiTheme="majorHAnsi"/>
          <w:b/>
        </w:rPr>
      </w:pPr>
      <w:r w:rsidRPr="009A6B16">
        <w:rPr>
          <w:rFonts w:asciiTheme="majorHAnsi" w:hAnsiTheme="majorHAnsi"/>
          <w:b/>
        </w:rPr>
        <w:t>Risks Arising from Lack of Governance Rights</w:t>
      </w:r>
    </w:p>
    <w:p w:rsidR="00987EC3" w:rsidRPr="009A6B16" w:rsidRDefault="00987EC3" w:rsidP="00460C2C">
      <w:pPr>
        <w:rPr>
          <w:rFonts w:asciiTheme="majorHAnsi" w:hAnsiTheme="majorHAnsi"/>
        </w:rPr>
      </w:pPr>
      <w:r w:rsidRPr="009A6B16">
        <w:rPr>
          <w:rFonts w:asciiTheme="majorHAnsi" w:hAnsiTheme="majorHAnsi"/>
        </w:rPr>
        <w:t xml:space="preserve">Because Tokens confer no governance rights of any kind with respect to the Platform or the Company, all decisions involving the Company’s products or services within the Platform or the Company itself will be made by the Company at its sole discretion, including, but not limited to, decisions to discontinue its products or services in the Platform, to create and sell more Tokens for use in the Platform, or to sell or liquidate the Company. These decisions could adversely affect the Platform and the utility of any Tokens you own, including their utility for obtaining Services.  </w:t>
      </w:r>
    </w:p>
    <w:p w:rsidR="00987EC3" w:rsidRPr="009A6B16" w:rsidRDefault="00987EC3" w:rsidP="00460C2C">
      <w:pPr>
        <w:rPr>
          <w:rFonts w:asciiTheme="majorHAnsi" w:hAnsiTheme="majorHAnsi"/>
        </w:rPr>
      </w:pPr>
    </w:p>
    <w:p w:rsidR="00987EC3" w:rsidRPr="009A6B16" w:rsidRDefault="00987EC3" w:rsidP="00460C2C">
      <w:pPr>
        <w:rPr>
          <w:rFonts w:asciiTheme="majorHAnsi" w:hAnsiTheme="majorHAnsi"/>
          <w:b/>
        </w:rPr>
      </w:pPr>
      <w:r w:rsidRPr="009A6B16">
        <w:rPr>
          <w:rFonts w:asciiTheme="majorHAnsi" w:hAnsiTheme="majorHAnsi"/>
          <w:b/>
        </w:rPr>
        <w:t>Regulatory Risks</w:t>
      </w:r>
    </w:p>
    <w:p w:rsidR="00987EC3" w:rsidRPr="009A6B16" w:rsidRDefault="00987EC3" w:rsidP="00460C2C">
      <w:pPr>
        <w:rPr>
          <w:rFonts w:asciiTheme="majorHAnsi" w:hAnsiTheme="majorHAnsi"/>
        </w:rPr>
      </w:pPr>
      <w:r w:rsidRPr="009A6B16">
        <w:rPr>
          <w:rFonts w:asciiTheme="majorHAnsi" w:hAnsiTheme="majorHAnsi"/>
        </w:rPr>
        <w:t xml:space="preserve">The Company, and by extension the Platform, is subject to a variety of federal, state and international laws and regulations, including those with respect to privacy and data protection, consumer protection, data security, and others. These laws and regulations, and the interpretation or application of these laws and </w:t>
      </w:r>
      <w:r w:rsidRPr="009A6B16">
        <w:rPr>
          <w:rFonts w:asciiTheme="majorHAnsi" w:hAnsiTheme="majorHAnsi"/>
          <w:noProof/>
        </w:rPr>
        <w:t>regulations</w:t>
      </w:r>
      <w:r w:rsidRPr="009A6B16">
        <w:rPr>
          <w:rFonts w:asciiTheme="majorHAnsi" w:hAnsiTheme="majorHAnsi"/>
        </w:rPr>
        <w:t xml:space="preserve"> could change. In addition, new laws or regulations affecting the Platform could be enacted, which could impact the utility of the Tokens in the Platform. Additionally, the Platform participants are subject to </w:t>
      </w:r>
      <w:r w:rsidRPr="009A6B16">
        <w:rPr>
          <w:rFonts w:asciiTheme="majorHAnsi" w:hAnsiTheme="majorHAnsi"/>
          <w:noProof/>
        </w:rPr>
        <w:t>industry</w:t>
      </w:r>
      <w:r w:rsidR="005F12DC" w:rsidRPr="009A6B16">
        <w:rPr>
          <w:rFonts w:asciiTheme="majorHAnsi" w:hAnsiTheme="majorHAnsi"/>
          <w:noProof/>
        </w:rPr>
        <w:t>-</w:t>
      </w:r>
      <w:r w:rsidRPr="009A6B16">
        <w:rPr>
          <w:rFonts w:asciiTheme="majorHAnsi" w:hAnsiTheme="majorHAnsi"/>
          <w:noProof/>
        </w:rPr>
        <w:t>specific</w:t>
      </w:r>
      <w:r w:rsidRPr="009A6B16">
        <w:rPr>
          <w:rFonts w:asciiTheme="majorHAnsi" w:hAnsiTheme="majorHAnsi"/>
        </w:rPr>
        <w:t xml:space="preserve"> laws and regulations or licensing requirements. If any of these parties </w:t>
      </w:r>
      <w:r w:rsidRPr="009A6B16">
        <w:rPr>
          <w:rFonts w:asciiTheme="majorHAnsi" w:hAnsiTheme="majorHAnsi"/>
          <w:noProof/>
        </w:rPr>
        <w:t>fail</w:t>
      </w:r>
      <w:r w:rsidRPr="009A6B16">
        <w:rPr>
          <w:rFonts w:asciiTheme="majorHAnsi" w:hAnsiTheme="majorHAnsi"/>
        </w:rPr>
        <w:t xml:space="preserve"> to comply with any of these licensing requirements or other applicable laws or regulations, or if such laws and regulations or licensing requirements become more stringent or are otherwise expanded, it could adversely impact the Platform and the Tokens, including the Tokens’ utility for obtaining Services. </w:t>
      </w:r>
    </w:p>
    <w:p w:rsidR="00987EC3" w:rsidRPr="009A6B16" w:rsidRDefault="00987EC3" w:rsidP="00460C2C">
      <w:pPr>
        <w:rPr>
          <w:rFonts w:asciiTheme="majorHAnsi" w:hAnsiTheme="majorHAnsi"/>
        </w:rPr>
      </w:pPr>
    </w:p>
    <w:p w:rsidR="00C20403" w:rsidRDefault="00987EC3" w:rsidP="00460C2C">
      <w:pPr>
        <w:rPr>
          <w:rFonts w:asciiTheme="majorHAnsi" w:hAnsiTheme="majorHAnsi"/>
        </w:rPr>
      </w:pPr>
      <w:r w:rsidRPr="009A6B16">
        <w:rPr>
          <w:rFonts w:asciiTheme="majorHAnsi" w:hAnsiTheme="majorHAnsi"/>
        </w:rPr>
        <w:t>Also, changes in laws or regulations governing the Company's operations may adversely affect its business. Any change in the Company's tax status, or in taxation legislation in the United States or elsewhere, could affect the value of its financial holdings, its business and the Company's ability to achieve its business objective. Prospective purchasers are urged to consult their tax advisers with respect to their particular tax situations and the tax effects of the purchase of Tokens from the Company.</w:t>
      </w:r>
    </w:p>
    <w:p w:rsidR="00C20403" w:rsidRPr="009A6B16" w:rsidRDefault="00C20403" w:rsidP="00460C2C">
      <w:pPr>
        <w:rPr>
          <w:rFonts w:asciiTheme="majorHAnsi" w:hAnsiTheme="majorHAnsi"/>
        </w:rPr>
      </w:pPr>
    </w:p>
    <w:p w:rsidR="00987EC3" w:rsidRPr="009A6B16" w:rsidRDefault="00987EC3" w:rsidP="00460C2C">
      <w:pPr>
        <w:rPr>
          <w:rFonts w:asciiTheme="majorHAnsi" w:hAnsiTheme="majorHAnsi"/>
          <w:b/>
        </w:rPr>
      </w:pPr>
      <w:r w:rsidRPr="009A6B16">
        <w:rPr>
          <w:rFonts w:asciiTheme="majorHAnsi" w:hAnsiTheme="majorHAnsi"/>
          <w:b/>
        </w:rPr>
        <w:t>Operational Risks</w:t>
      </w:r>
    </w:p>
    <w:p w:rsidR="00987EC3" w:rsidRPr="009A6B16" w:rsidRDefault="00987EC3" w:rsidP="00460C2C">
      <w:pPr>
        <w:rPr>
          <w:rFonts w:asciiTheme="majorHAnsi" w:hAnsiTheme="majorHAnsi"/>
        </w:rPr>
      </w:pPr>
      <w:r w:rsidRPr="009A6B16">
        <w:rPr>
          <w:rFonts w:asciiTheme="majorHAnsi" w:hAnsiTheme="majorHAnsi"/>
        </w:rPr>
        <w:t xml:space="preserve">The Company is a young company and the growth of the team and its capabilities may take longer than expected to result in the intended </w:t>
      </w:r>
      <w:r w:rsidRPr="009A6B16">
        <w:rPr>
          <w:rFonts w:asciiTheme="majorHAnsi" w:hAnsiTheme="majorHAnsi"/>
          <w:noProof/>
        </w:rPr>
        <w:t>usefulness</w:t>
      </w:r>
      <w:r w:rsidRPr="009A6B16">
        <w:rPr>
          <w:rFonts w:asciiTheme="majorHAnsi" w:hAnsiTheme="majorHAnsi"/>
        </w:rPr>
        <w:t xml:space="preserve"> for the Tokens. The Tokens are just one product in a highly competitive market, and broad adoption by other </w:t>
      </w:r>
      <w:r w:rsidRPr="009A6B16">
        <w:rPr>
          <w:rFonts w:asciiTheme="majorHAnsi" w:hAnsiTheme="majorHAnsi"/>
        </w:rPr>
        <w:lastRenderedPageBreak/>
        <w:t xml:space="preserve">users and developments by technology partners may take longer than expected. The usefulness of the Tokens depends on the extent of widespread adoption of the offered technology by the marketplace.  </w:t>
      </w:r>
    </w:p>
    <w:p w:rsidR="00987EC3" w:rsidRPr="009A6B16" w:rsidRDefault="00987EC3" w:rsidP="00460C2C">
      <w:pPr>
        <w:rPr>
          <w:rFonts w:asciiTheme="majorHAnsi" w:hAnsiTheme="majorHAnsi"/>
        </w:rPr>
      </w:pPr>
    </w:p>
    <w:p w:rsidR="00987EC3" w:rsidRPr="009A6B16" w:rsidRDefault="00987EC3" w:rsidP="00460C2C">
      <w:pPr>
        <w:rPr>
          <w:rFonts w:asciiTheme="majorHAnsi" w:hAnsiTheme="majorHAnsi"/>
          <w:b/>
        </w:rPr>
      </w:pPr>
      <w:r w:rsidRPr="009A6B16">
        <w:rPr>
          <w:rFonts w:asciiTheme="majorHAnsi" w:hAnsiTheme="majorHAnsi"/>
          <w:b/>
        </w:rPr>
        <w:t>Risk of Lack of Adoption</w:t>
      </w:r>
    </w:p>
    <w:p w:rsidR="00987EC3" w:rsidRPr="009A6B16" w:rsidRDefault="00987EC3" w:rsidP="00460C2C">
      <w:pPr>
        <w:rPr>
          <w:rFonts w:asciiTheme="majorHAnsi" w:hAnsiTheme="majorHAnsi"/>
        </w:rPr>
      </w:pPr>
      <w:r w:rsidRPr="009A6B16">
        <w:rPr>
          <w:rFonts w:asciiTheme="majorHAnsi" w:hAnsiTheme="majorHAnsi"/>
        </w:rPr>
        <w:t xml:space="preserve">The success of the Platform, Services, and Tokens is dependent in large part </w:t>
      </w:r>
      <w:r w:rsidR="005F12DC" w:rsidRPr="009A6B16">
        <w:rPr>
          <w:rFonts w:asciiTheme="majorHAnsi" w:hAnsiTheme="majorHAnsi"/>
          <w:noProof/>
        </w:rPr>
        <w:t>on</w:t>
      </w:r>
      <w:r w:rsidRPr="009A6B16">
        <w:rPr>
          <w:rFonts w:asciiTheme="majorHAnsi" w:hAnsiTheme="majorHAnsi"/>
        </w:rPr>
        <w:t xml:space="preserve"> the adoption of the Platform, Services, and underlying technology by users. It is possible that users do not adopt or use the Platform. Such lack of use or interest could negatively impact the development of the Platform and therefore the potential utility of the Tokens, including the utility of the Tokens for obtaining Services. </w:t>
      </w:r>
    </w:p>
    <w:p w:rsidR="00987EC3" w:rsidRPr="009A6B16" w:rsidRDefault="00987EC3" w:rsidP="00460C2C">
      <w:pPr>
        <w:rPr>
          <w:rFonts w:asciiTheme="majorHAnsi" w:hAnsiTheme="majorHAnsi"/>
        </w:rPr>
      </w:pPr>
    </w:p>
    <w:p w:rsidR="00987EC3" w:rsidRPr="009A6B16" w:rsidRDefault="00987EC3" w:rsidP="00460C2C">
      <w:pPr>
        <w:rPr>
          <w:rFonts w:asciiTheme="majorHAnsi" w:hAnsiTheme="majorHAnsi"/>
          <w:b/>
        </w:rPr>
      </w:pPr>
      <w:r w:rsidRPr="009A6B16">
        <w:rPr>
          <w:rFonts w:asciiTheme="majorHAnsi" w:hAnsiTheme="majorHAnsi"/>
          <w:b/>
        </w:rPr>
        <w:t>Technology Risks</w:t>
      </w:r>
    </w:p>
    <w:p w:rsidR="00987EC3" w:rsidRPr="009A6B16" w:rsidRDefault="00987EC3" w:rsidP="00460C2C">
      <w:pPr>
        <w:rPr>
          <w:rFonts w:asciiTheme="majorHAnsi" w:hAnsiTheme="majorHAnsi"/>
        </w:rPr>
      </w:pPr>
      <w:r w:rsidRPr="009A6B16">
        <w:rPr>
          <w:rFonts w:asciiTheme="majorHAnsi" w:hAnsiTheme="majorHAnsi"/>
        </w:rPr>
        <w:t xml:space="preserve">The Tokens are intended to represent a new capability on emerging technology that is not fully proven in use. As the technology matures, new capabilities may dramatically alter the usefulness of the Tokens or the ability to use or sell them. The functionality of the Tokens is complex, will require enhancements and product support over time, and full functionality may take longer than expected. The full functionality of the Tokens is not yet complete and no assurance can be provided of such completion. </w:t>
      </w:r>
    </w:p>
    <w:p w:rsidR="00987EC3" w:rsidRPr="009A6B16" w:rsidRDefault="00987EC3" w:rsidP="00460C2C">
      <w:pPr>
        <w:rPr>
          <w:rFonts w:asciiTheme="majorHAnsi" w:hAnsiTheme="majorHAnsi"/>
        </w:rPr>
      </w:pPr>
    </w:p>
    <w:p w:rsidR="00987EC3" w:rsidRPr="009A6B16" w:rsidRDefault="00987EC3" w:rsidP="00460C2C">
      <w:pPr>
        <w:rPr>
          <w:rFonts w:asciiTheme="majorHAnsi" w:hAnsiTheme="majorHAnsi"/>
          <w:b/>
        </w:rPr>
      </w:pPr>
      <w:r w:rsidRPr="009A6B16">
        <w:rPr>
          <w:rFonts w:asciiTheme="majorHAnsi" w:hAnsiTheme="majorHAnsi"/>
          <w:b/>
        </w:rPr>
        <w:t>Unanticipated Risks</w:t>
      </w:r>
    </w:p>
    <w:p w:rsidR="00987EC3" w:rsidRPr="009A6B16" w:rsidRDefault="00987EC3" w:rsidP="00460C2C">
      <w:pPr>
        <w:rPr>
          <w:rFonts w:asciiTheme="majorHAnsi" w:hAnsiTheme="majorHAnsi"/>
        </w:rPr>
      </w:pPr>
      <w:r w:rsidRPr="009A6B16">
        <w:rPr>
          <w:rFonts w:asciiTheme="majorHAnsi" w:hAnsiTheme="majorHAnsi"/>
        </w:rPr>
        <w:t>Cryptographic tokens such as the Tokens are a new and untested technology. In addition to the risks included in this document, there are other risks associated with your purchase, possession, and use of the Tokens, including unanticipated risks. Such risks may further materialize as unanticipated variations or combinations of the risks discussed in this document.</w:t>
      </w:r>
    </w:p>
    <w:p w:rsidR="00987EC3" w:rsidRPr="009A6B16" w:rsidRDefault="00987EC3" w:rsidP="00460C2C">
      <w:pPr>
        <w:rPr>
          <w:rFonts w:asciiTheme="majorHAnsi" w:hAnsiTheme="majorHAnsi"/>
        </w:rPr>
      </w:pPr>
    </w:p>
    <w:p w:rsidR="00987EC3" w:rsidRPr="009A6B16" w:rsidRDefault="00987EC3" w:rsidP="00460C2C">
      <w:pPr>
        <w:rPr>
          <w:rFonts w:asciiTheme="majorHAnsi" w:hAnsiTheme="majorHAnsi"/>
          <w:b/>
        </w:rPr>
      </w:pPr>
      <w:r w:rsidRPr="009A6B16">
        <w:rPr>
          <w:rFonts w:asciiTheme="majorHAnsi" w:hAnsiTheme="majorHAnsi"/>
          <w:b/>
          <w:noProof/>
        </w:rPr>
        <w:t>Forward</w:t>
      </w:r>
      <w:r w:rsidR="005F12DC" w:rsidRPr="009A6B16">
        <w:rPr>
          <w:rFonts w:asciiTheme="majorHAnsi" w:hAnsiTheme="majorHAnsi"/>
          <w:b/>
          <w:noProof/>
        </w:rPr>
        <w:t>-</w:t>
      </w:r>
      <w:r w:rsidRPr="009A6B16">
        <w:rPr>
          <w:rFonts w:asciiTheme="majorHAnsi" w:hAnsiTheme="majorHAnsi"/>
          <w:b/>
          <w:noProof/>
        </w:rPr>
        <w:t>Looking</w:t>
      </w:r>
      <w:r w:rsidRPr="009A6B16">
        <w:rPr>
          <w:rFonts w:asciiTheme="majorHAnsi" w:hAnsiTheme="majorHAnsi"/>
          <w:b/>
        </w:rPr>
        <w:t xml:space="preserve"> Statements</w:t>
      </w:r>
    </w:p>
    <w:p w:rsidR="004B110F" w:rsidRDefault="00987EC3" w:rsidP="00460C2C">
      <w:pPr>
        <w:rPr>
          <w:rFonts w:asciiTheme="majorHAnsi" w:hAnsiTheme="majorHAnsi"/>
        </w:rPr>
      </w:pPr>
      <w:r w:rsidRPr="009A6B16">
        <w:rPr>
          <w:rFonts w:asciiTheme="majorHAnsi" w:hAnsiTheme="majorHAnsi"/>
        </w:rPr>
        <w:t>The Company’s Token sale whitepaper and the documents attached thereto or associated wherewith contain forward-looking statements within the meaning of Section 27A of the Securities Act and Section 21E of the Exchange Act.  These forward-looking statements are based on current expectations, estimates and projections about our industry, Company management’s beliefs, and assumptions made by Company management. Words such as “anticipates,” “expects,” “intends,” “plans,” “believes,” “seeks,” “estimates,” and variations of such words and similar expressions are intended to identify such forward-looking statements.  These statements are not guarantees of future performance and are subject to certain risks, uncertainties</w:t>
      </w:r>
      <w:r w:rsidR="005F12DC" w:rsidRPr="00A837D9">
        <w:rPr>
          <w:rFonts w:asciiTheme="majorHAnsi" w:hAnsiTheme="majorHAnsi"/>
          <w:noProof/>
        </w:rPr>
        <w:t>,</w:t>
      </w:r>
      <w:r w:rsidR="00514E99">
        <w:rPr>
          <w:rFonts w:asciiTheme="majorHAnsi" w:hAnsiTheme="majorHAnsi"/>
          <w:noProof/>
        </w:rPr>
        <w:t xml:space="preserve"> </w:t>
      </w:r>
      <w:r w:rsidRPr="00A837D9">
        <w:rPr>
          <w:rFonts w:asciiTheme="majorHAnsi" w:hAnsiTheme="majorHAnsi"/>
          <w:noProof/>
        </w:rPr>
        <w:t>and</w:t>
      </w:r>
      <w:r w:rsidRPr="009A6B16">
        <w:rPr>
          <w:rFonts w:asciiTheme="majorHAnsi" w:hAnsiTheme="majorHAnsi"/>
        </w:rPr>
        <w:t xml:space="preserve"> assumptions that are difficult to predict; therefore, actual results may differ materially from those expressed or forecasted in any forward-looking statements. The risks and uncertainties include those noted in “Risk Factors” above and in the exhibits.  We undertake no obligation to update any </w:t>
      </w:r>
      <w:r w:rsidRPr="009A6B16">
        <w:rPr>
          <w:rFonts w:asciiTheme="majorHAnsi" w:hAnsiTheme="majorHAnsi"/>
        </w:rPr>
        <w:lastRenderedPageBreak/>
        <w:t>forward-looking statements, whether as a result of new information, future events or otherwise, except to the extent that we are required to do so by law.</w:t>
      </w:r>
    </w:p>
    <w:p w:rsidR="00046E2B" w:rsidRDefault="00046E2B" w:rsidP="00460C2C">
      <w:pPr>
        <w:rPr>
          <w:rFonts w:asciiTheme="majorHAnsi" w:hAnsiTheme="majorHAnsi"/>
        </w:rPr>
      </w:pPr>
    </w:p>
    <w:p w:rsidR="00046E2B" w:rsidRPr="00D8640C" w:rsidRDefault="00046E2B" w:rsidP="00206D79">
      <w:pPr>
        <w:jc w:val="center"/>
        <w:rPr>
          <w:rFonts w:ascii="Franklin Gothic Demi" w:hAnsi="Franklin Gothic Demi"/>
          <w:color w:val="262626" w:themeColor="text1" w:themeTint="D9"/>
          <w:sz w:val="36"/>
          <w:szCs w:val="36"/>
        </w:rPr>
      </w:pPr>
      <w:r w:rsidRPr="00D8640C">
        <w:rPr>
          <w:rFonts w:ascii="Franklin Gothic Demi" w:hAnsi="Franklin Gothic Demi"/>
          <w:color w:val="262626" w:themeColor="text1" w:themeTint="D9"/>
          <w:sz w:val="36"/>
          <w:szCs w:val="36"/>
        </w:rPr>
        <w:t>- END -</w:t>
      </w:r>
    </w:p>
    <w:sectPr w:rsidR="00046E2B" w:rsidRPr="00D8640C" w:rsidSect="001F360C">
      <w:headerReference w:type="default" r:id="rId49"/>
      <w:footerReference w:type="default" r:id="rId50"/>
      <w:pgSz w:w="15840" w:h="12240" w:orient="landscape"/>
      <w:pgMar w:top="504" w:right="1440" w:bottom="504" w:left="1440" w:header="360"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63A0" w:rsidRDefault="009063A0">
      <w:r>
        <w:separator/>
      </w:r>
    </w:p>
  </w:endnote>
  <w:endnote w:type="continuationSeparator" w:id="0">
    <w:p w:rsidR="009063A0" w:rsidRDefault="00906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F2C" w:rsidRDefault="00D34F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0"/>
      <w:gridCol w:w="1440"/>
    </w:tblGrid>
    <w:tr w:rsidR="00D34F2C">
      <w:trPr>
        <w:trHeight w:hRule="exact" w:val="320"/>
      </w:trPr>
      <w:tc>
        <w:tcPr>
          <w:tcW w:w="7920" w:type="dxa"/>
          <w:tcBorders>
            <w:top w:val="nil"/>
            <w:left w:val="nil"/>
            <w:bottom w:val="nil"/>
            <w:right w:val="nil"/>
            <w:tl2br w:val="nil"/>
            <w:tr2bl w:val="nil"/>
          </w:tcBorders>
          <w:tcMar>
            <w:top w:w="0" w:type="dxa"/>
            <w:bottom w:w="0" w:type="dxa"/>
          </w:tcMar>
        </w:tcPr>
        <w:p w:rsidR="00D34F2C" w:rsidRDefault="00D34F2C">
          <w:pPr>
            <w:pStyle w:val="Pidipagina"/>
          </w:pPr>
        </w:p>
      </w:tc>
      <w:tc>
        <w:tcPr>
          <w:tcW w:w="1440" w:type="dxa"/>
          <w:tcBorders>
            <w:top w:val="nil"/>
            <w:left w:val="nil"/>
            <w:bottom w:val="nil"/>
            <w:right w:val="nil"/>
            <w:tl2br w:val="nil"/>
            <w:tr2bl w:val="nil"/>
          </w:tcBorders>
          <w:tcMar>
            <w:top w:w="0" w:type="dxa"/>
            <w:bottom w:w="0" w:type="dxa"/>
          </w:tcMar>
        </w:tcPr>
        <w:p w:rsidR="00D34F2C" w:rsidRDefault="00D34F2C">
          <w:pPr>
            <w:pStyle w:val="Pidipagina"/>
          </w:pPr>
        </w:p>
      </w:tc>
    </w:tr>
    <w:tr w:rsidR="00D34F2C">
      <w:tblPrEx>
        <w:tblBorders>
          <w:top w:val="nil"/>
          <w:left w:val="nil"/>
          <w:bottom w:val="nil"/>
          <w:right w:val="nil"/>
          <w:insideH w:val="nil"/>
          <w:insideV w:val="nil"/>
        </w:tblBorders>
      </w:tblPrEx>
      <w:tc>
        <w:tcPr>
          <w:tcW w:w="7920" w:type="dxa"/>
          <w:tcBorders>
            <w:top w:val="nil"/>
            <w:left w:val="nil"/>
            <w:bottom w:val="single" w:sz="8" w:space="0" w:color="727272"/>
            <w:right w:val="nil"/>
            <w:tl2br w:val="nil"/>
            <w:tr2bl w:val="nil"/>
          </w:tcBorders>
          <w:tcMar>
            <w:top w:w="60" w:type="dxa"/>
            <w:bottom w:w="0" w:type="dxa"/>
          </w:tcMar>
        </w:tcPr>
        <w:p w:rsidR="00D34F2C" w:rsidRDefault="00D34F2C">
          <w:pPr>
            <w:pStyle w:val="Pidipagina"/>
          </w:pPr>
        </w:p>
      </w:tc>
      <w:tc>
        <w:tcPr>
          <w:tcW w:w="1440" w:type="dxa"/>
          <w:tcBorders>
            <w:top w:val="single" w:sz="8" w:space="0" w:color="727272"/>
            <w:left w:val="single" w:sz="8" w:space="0" w:color="727272"/>
            <w:bottom w:val="nil"/>
            <w:right w:val="single" w:sz="8" w:space="0" w:color="727272"/>
            <w:tl2br w:val="nil"/>
            <w:tr2bl w:val="nil"/>
          </w:tcBorders>
          <w:tcMar>
            <w:top w:w="60" w:type="dxa"/>
            <w:bottom w:w="0" w:type="dxa"/>
          </w:tcMar>
        </w:tcPr>
        <w:p w:rsidR="00D34F2C" w:rsidRDefault="00D34F2C">
          <w:pPr>
            <w:pStyle w:val="PageNumber"/>
            <w:jc w:val="center"/>
          </w:pPr>
          <w:r>
            <w:t xml:space="preserve">Page </w:t>
          </w:r>
          <w:r>
            <w:fldChar w:fldCharType="begin"/>
          </w:r>
          <w:r>
            <w:instrText>PAGE</w:instrText>
          </w:r>
          <w:r>
            <w:fldChar w:fldCharType="separate"/>
          </w:r>
          <w:r w:rsidR="00F13192">
            <w:rPr>
              <w:noProof/>
            </w:rPr>
            <w:t>48</w:t>
          </w:r>
          <w:r>
            <w:rPr>
              <w:noProof/>
            </w:rPr>
            <w:fldChar w:fldCharType="end"/>
          </w:r>
        </w:p>
      </w:tc>
    </w:tr>
  </w:tbl>
  <w:p w:rsidR="00D34F2C" w:rsidRDefault="00D34F2C" w:rsidP="00012B7D">
    <w:pPr>
      <w:jc w:val="both"/>
      <w:rPr>
        <w:rFonts w:asciiTheme="majorHAnsi" w:hAnsiTheme="majorHAnsi"/>
        <w:b/>
        <w:spacing w:val="10"/>
        <w:sz w:val="20"/>
        <w:szCs w:val="20"/>
      </w:rPr>
    </w:pPr>
    <w:r>
      <w:rPr>
        <w:noProof/>
        <w:lang w:val="en-US" w:eastAsia="en-US"/>
      </w:rPr>
      <w:drawing>
        <wp:anchor distT="0" distB="0" distL="114300" distR="114300" simplePos="0" relativeHeight="251686912" behindDoc="1" locked="0" layoutInCell="1" allowOverlap="1" wp14:anchorId="72B34090" wp14:editId="61C0DBDB">
          <wp:simplePos x="0" y="0"/>
          <wp:positionH relativeFrom="column">
            <wp:posOffset>-1103630</wp:posOffset>
          </wp:positionH>
          <wp:positionV relativeFrom="paragraph">
            <wp:posOffset>-2023300</wp:posOffset>
          </wp:positionV>
          <wp:extent cx="7967481" cy="3217762"/>
          <wp:effectExtent l="19050" t="0" r="0" b="0"/>
          <wp:wrapNone/>
          <wp:docPr id="9" name="Picture 1" descr="C:\Users\Mimong\Desktop\backgroun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mong\Desktop\background\footer.png"/>
                  <pic:cNvPicPr>
                    <a:picLocks noChangeAspect="1" noChangeArrowheads="1"/>
                  </pic:cNvPicPr>
                </pic:nvPicPr>
                <pic:blipFill>
                  <a:blip r:embed="rId1"/>
                  <a:srcRect/>
                  <a:stretch>
                    <a:fillRect/>
                  </a:stretch>
                </pic:blipFill>
                <pic:spPr bwMode="auto">
                  <a:xfrm>
                    <a:off x="0" y="0"/>
                    <a:ext cx="7967481" cy="3217762"/>
                  </a:xfrm>
                  <a:prstGeom prst="rect">
                    <a:avLst/>
                  </a:prstGeom>
                  <a:noFill/>
                  <a:ln w="9525">
                    <a:noFill/>
                    <a:miter lim="800000"/>
                    <a:headEnd/>
                    <a:tailEnd/>
                  </a:ln>
                </pic:spPr>
              </pic:pic>
            </a:graphicData>
          </a:graphic>
        </wp:anchor>
      </w:drawing>
    </w:r>
  </w:p>
  <w:p w:rsidR="00D34F2C" w:rsidRPr="00012B7D" w:rsidRDefault="00D34F2C" w:rsidP="00012B7D">
    <w:pPr>
      <w:jc w:val="both"/>
      <w:rPr>
        <w:rFonts w:asciiTheme="majorHAnsi" w:hAnsiTheme="majorHAnsi"/>
        <w:spacing w:val="10"/>
        <w:sz w:val="20"/>
        <w:szCs w:val="20"/>
      </w:rPr>
    </w:pPr>
    <w:r w:rsidRPr="00012B7D">
      <w:rPr>
        <w:rFonts w:asciiTheme="majorHAnsi" w:hAnsiTheme="majorHAnsi"/>
        <w:b/>
        <w:spacing w:val="10"/>
        <w:sz w:val="20"/>
        <w:szCs w:val="20"/>
      </w:rPr>
      <w:t>CONFIDENTIAL - DO NOT DISSEMINATE</w:t>
    </w:r>
    <w:r w:rsidRPr="00012B7D">
      <w:rPr>
        <w:rFonts w:asciiTheme="majorHAnsi" w:hAnsiTheme="majorHAnsi"/>
        <w:spacing w:val="10"/>
        <w:sz w:val="20"/>
        <w:szCs w:val="20"/>
      </w:rPr>
      <w:t>. This business plan contains confidential, trade-secret information and is shared only with the understanding that you will not share its contents or ideas with third parties without the express written consent of the plan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F2C" w:rsidRDefault="00D34F2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0"/>
      <w:gridCol w:w="1440"/>
    </w:tblGrid>
    <w:tr w:rsidR="00D34F2C">
      <w:trPr>
        <w:trHeight w:hRule="exact" w:val="320"/>
      </w:trPr>
      <w:tc>
        <w:tcPr>
          <w:tcW w:w="11520" w:type="dxa"/>
          <w:tcBorders>
            <w:top w:val="nil"/>
            <w:left w:val="nil"/>
            <w:bottom w:val="nil"/>
            <w:right w:val="nil"/>
            <w:tl2br w:val="nil"/>
            <w:tr2bl w:val="nil"/>
          </w:tcBorders>
          <w:tcMar>
            <w:top w:w="0" w:type="dxa"/>
            <w:bottom w:w="0" w:type="dxa"/>
          </w:tcMar>
        </w:tcPr>
        <w:p w:rsidR="00D34F2C" w:rsidRPr="00FA35D3" w:rsidRDefault="00D34F2C">
          <w:pPr>
            <w:pStyle w:val="Pidipagina"/>
            <w:rPr>
              <w:sz w:val="4"/>
            </w:rPr>
          </w:pPr>
          <w:r w:rsidRPr="00762917">
            <w:rPr>
              <w:rFonts w:ascii="Franklin Gothic Demi" w:hAnsi="Franklin Gothic Demi"/>
              <w:noProof/>
              <w:color w:val="FFFFFF" w:themeColor="background1"/>
              <w:sz w:val="32"/>
              <w:szCs w:val="32"/>
              <w:lang w:val="en-US" w:eastAsia="en-US"/>
            </w:rPr>
            <w:drawing>
              <wp:anchor distT="0" distB="0" distL="114300" distR="114300" simplePos="0" relativeHeight="251695616" behindDoc="1" locked="0" layoutInCell="1" allowOverlap="1" wp14:anchorId="09316FA6" wp14:editId="4894EB93">
                <wp:simplePos x="0" y="0"/>
                <wp:positionH relativeFrom="column">
                  <wp:posOffset>-914400</wp:posOffset>
                </wp:positionH>
                <wp:positionV relativeFrom="paragraph">
                  <wp:posOffset>20283</wp:posOffset>
                </wp:positionV>
                <wp:extent cx="10053554" cy="1163847"/>
                <wp:effectExtent l="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flipH="1">
                          <a:off x="0" y="0"/>
                          <a:ext cx="10213727" cy="11823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4"/>
            </w:rPr>
            <w:t>`</w:t>
          </w:r>
        </w:p>
      </w:tc>
      <w:tc>
        <w:tcPr>
          <w:tcW w:w="1440" w:type="dxa"/>
          <w:tcBorders>
            <w:top w:val="nil"/>
            <w:left w:val="nil"/>
            <w:bottom w:val="nil"/>
            <w:right w:val="nil"/>
            <w:tl2br w:val="nil"/>
            <w:tr2bl w:val="nil"/>
          </w:tcBorders>
          <w:tcMar>
            <w:top w:w="0" w:type="dxa"/>
            <w:bottom w:w="0" w:type="dxa"/>
          </w:tcMar>
        </w:tcPr>
        <w:p w:rsidR="00D34F2C" w:rsidRDefault="00D34F2C">
          <w:pPr>
            <w:pStyle w:val="Pidipagina"/>
          </w:pPr>
        </w:p>
      </w:tc>
    </w:tr>
    <w:tr w:rsidR="00D34F2C">
      <w:tblPrEx>
        <w:tblBorders>
          <w:top w:val="nil"/>
          <w:left w:val="nil"/>
          <w:bottom w:val="nil"/>
          <w:right w:val="nil"/>
          <w:insideH w:val="nil"/>
          <w:insideV w:val="nil"/>
        </w:tblBorders>
      </w:tblPrEx>
      <w:tc>
        <w:tcPr>
          <w:tcW w:w="11520" w:type="dxa"/>
          <w:tcBorders>
            <w:top w:val="nil"/>
            <w:left w:val="nil"/>
            <w:bottom w:val="single" w:sz="8" w:space="0" w:color="727272"/>
            <w:right w:val="nil"/>
            <w:tl2br w:val="nil"/>
            <w:tr2bl w:val="nil"/>
          </w:tcBorders>
          <w:tcMar>
            <w:top w:w="60" w:type="dxa"/>
            <w:bottom w:w="0" w:type="dxa"/>
          </w:tcMar>
        </w:tcPr>
        <w:p w:rsidR="00D34F2C" w:rsidRDefault="00D34F2C">
          <w:pPr>
            <w:pStyle w:val="Pidipagina"/>
          </w:pPr>
        </w:p>
      </w:tc>
      <w:tc>
        <w:tcPr>
          <w:tcW w:w="1440" w:type="dxa"/>
          <w:tcBorders>
            <w:top w:val="single" w:sz="8" w:space="0" w:color="727272"/>
            <w:left w:val="single" w:sz="8" w:space="0" w:color="727272"/>
            <w:bottom w:val="nil"/>
            <w:right w:val="single" w:sz="8" w:space="0" w:color="727272"/>
            <w:tl2br w:val="nil"/>
            <w:tr2bl w:val="nil"/>
          </w:tcBorders>
          <w:tcMar>
            <w:top w:w="60" w:type="dxa"/>
            <w:bottom w:w="0" w:type="dxa"/>
          </w:tcMar>
        </w:tcPr>
        <w:p w:rsidR="00D34F2C" w:rsidRDefault="00D34F2C">
          <w:pPr>
            <w:pStyle w:val="PageNumber"/>
            <w:jc w:val="center"/>
          </w:pPr>
          <w:r>
            <w:t xml:space="preserve">Page </w:t>
          </w:r>
          <w:r>
            <w:fldChar w:fldCharType="begin"/>
          </w:r>
          <w:r>
            <w:instrText>PAGE</w:instrText>
          </w:r>
          <w:r>
            <w:fldChar w:fldCharType="separate"/>
          </w:r>
          <w:r w:rsidR="00F13192">
            <w:rPr>
              <w:noProof/>
            </w:rPr>
            <w:t>63</w:t>
          </w:r>
          <w:r>
            <w:rPr>
              <w:noProof/>
            </w:rPr>
            <w:fldChar w:fldCharType="end"/>
          </w:r>
        </w:p>
      </w:tc>
    </w:tr>
  </w:tbl>
  <w:p w:rsidR="00D34F2C" w:rsidRDefault="00D34F2C" w:rsidP="00FA35D3">
    <w:pPr>
      <w:jc w:val="both"/>
      <w:rPr>
        <w:rFonts w:asciiTheme="majorHAnsi" w:hAnsiTheme="majorHAnsi"/>
        <w:b/>
        <w:spacing w:val="10"/>
        <w:sz w:val="20"/>
        <w:szCs w:val="20"/>
      </w:rPr>
    </w:pPr>
    <w:r w:rsidRPr="00762917">
      <w:rPr>
        <w:rFonts w:ascii="Franklin Gothic Demi" w:hAnsi="Franklin Gothic Demi"/>
        <w:noProof/>
        <w:color w:val="FFFFFF" w:themeColor="background1"/>
        <w:sz w:val="32"/>
        <w:szCs w:val="32"/>
        <w:lang w:val="en-US" w:eastAsia="en-US"/>
      </w:rPr>
      <w:drawing>
        <wp:anchor distT="0" distB="0" distL="114300" distR="114300" simplePos="0" relativeHeight="251664384" behindDoc="1" locked="0" layoutInCell="1" allowOverlap="1" wp14:anchorId="5DCBDF10" wp14:editId="71395408">
          <wp:simplePos x="0" y="0"/>
          <wp:positionH relativeFrom="column">
            <wp:posOffset>-914400</wp:posOffset>
          </wp:positionH>
          <wp:positionV relativeFrom="paragraph">
            <wp:posOffset>-6907314</wp:posOffset>
          </wp:positionV>
          <wp:extent cx="10048059" cy="776377"/>
          <wp:effectExtent l="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246101" cy="7916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34F2C" w:rsidRPr="00FA35D3" w:rsidRDefault="00D34F2C" w:rsidP="00FA35D3">
    <w:pPr>
      <w:jc w:val="both"/>
      <w:rPr>
        <w:rFonts w:asciiTheme="majorHAnsi" w:hAnsiTheme="majorHAnsi"/>
        <w:spacing w:val="10"/>
        <w:sz w:val="20"/>
        <w:szCs w:val="20"/>
      </w:rPr>
    </w:pPr>
    <w:r w:rsidRPr="00012B7D">
      <w:rPr>
        <w:rFonts w:asciiTheme="majorHAnsi" w:hAnsiTheme="majorHAnsi"/>
        <w:b/>
        <w:spacing w:val="10"/>
        <w:sz w:val="20"/>
        <w:szCs w:val="20"/>
      </w:rPr>
      <w:t>CONFIDENTIAL - DO NOT DISSEMINATE</w:t>
    </w:r>
    <w:r w:rsidRPr="00012B7D">
      <w:rPr>
        <w:rFonts w:asciiTheme="majorHAnsi" w:hAnsiTheme="majorHAnsi"/>
        <w:spacing w:val="10"/>
        <w:sz w:val="20"/>
        <w:szCs w:val="20"/>
      </w:rPr>
      <w:t>. This business plan contains confidential, trade-secret information and is shared only with the understanding that you will not share its contents or ideas with third parties without the express written consent of the plan author.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63A0" w:rsidRDefault="009063A0">
      <w:r>
        <w:separator/>
      </w:r>
    </w:p>
  </w:footnote>
  <w:footnote w:type="continuationSeparator" w:id="0">
    <w:p w:rsidR="009063A0" w:rsidRDefault="009063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F2C" w:rsidRDefault="00D34F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9360"/>
    </w:tblGrid>
    <w:tr w:rsidR="00D34F2C" w:rsidRPr="006517F0" w:rsidTr="006517F0">
      <w:tc>
        <w:tcPr>
          <w:tcW w:w="9360" w:type="dxa"/>
          <w:tcMar>
            <w:top w:w="180" w:type="dxa"/>
            <w:bottom w:w="100" w:type="dxa"/>
          </w:tcMar>
        </w:tcPr>
        <w:p w:rsidR="00D34F2C" w:rsidRPr="00762917" w:rsidRDefault="00D34F2C">
          <w:pPr>
            <w:pStyle w:val="Intestazione"/>
            <w:rPr>
              <w:rFonts w:ascii="Franklin Gothic Demi" w:hAnsi="Franklin Gothic Demi"/>
              <w:color w:val="FFFFFF" w:themeColor="background1"/>
              <w:sz w:val="32"/>
              <w:szCs w:val="32"/>
            </w:rPr>
          </w:pPr>
          <w:r w:rsidRPr="00762917">
            <w:rPr>
              <w:rFonts w:ascii="Franklin Gothic Demi" w:hAnsi="Franklin Gothic Demi"/>
              <w:color w:val="FFFFFF" w:themeColor="background1"/>
              <w:sz w:val="32"/>
              <w:szCs w:val="32"/>
            </w:rPr>
            <w:t>WHI</w:t>
          </w:r>
          <w:r w:rsidRPr="00762917">
            <w:rPr>
              <w:rFonts w:ascii="Franklin Gothic Demi" w:hAnsi="Franklin Gothic Demi"/>
              <w:noProof/>
              <w:color w:val="FFFFFF" w:themeColor="background1"/>
              <w:sz w:val="32"/>
              <w:szCs w:val="32"/>
              <w:lang w:val="en-US" w:eastAsia="en-US"/>
            </w:rPr>
            <w:drawing>
              <wp:anchor distT="0" distB="0" distL="114300" distR="114300" simplePos="0" relativeHeight="251671552" behindDoc="1" locked="0" layoutInCell="1" allowOverlap="1">
                <wp:simplePos x="0" y="0"/>
                <wp:positionH relativeFrom="column">
                  <wp:posOffset>-926881</wp:posOffset>
                </wp:positionH>
                <wp:positionV relativeFrom="paragraph">
                  <wp:posOffset>-563880</wp:posOffset>
                </wp:positionV>
                <wp:extent cx="7778531" cy="1182414"/>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7778531" cy="1182414"/>
                        </a:xfrm>
                        <a:prstGeom prst="rect">
                          <a:avLst/>
                        </a:prstGeom>
                        <a:noFill/>
                        <a:ln w="9525">
                          <a:noFill/>
                          <a:miter lim="800000"/>
                          <a:headEnd/>
                          <a:tailEnd/>
                        </a:ln>
                      </pic:spPr>
                    </pic:pic>
                  </a:graphicData>
                </a:graphic>
              </wp:anchor>
            </w:drawing>
          </w:r>
          <w:r w:rsidRPr="00762917">
            <w:rPr>
              <w:rFonts w:ascii="Franklin Gothic Demi" w:hAnsi="Franklin Gothic Demi"/>
              <w:color w:val="FFFFFF" w:themeColor="background1"/>
              <w:sz w:val="32"/>
              <w:szCs w:val="32"/>
            </w:rPr>
            <w:t>TE PAPER CFX</w:t>
          </w:r>
        </w:p>
      </w:tc>
    </w:tr>
    <w:tr w:rsidR="00D34F2C" w:rsidRPr="006517F0" w:rsidTr="006517F0">
      <w:trPr>
        <w:trHeight w:hRule="exact" w:val="720"/>
      </w:trPr>
      <w:tc>
        <w:tcPr>
          <w:tcW w:w="9360" w:type="dxa"/>
          <w:tcMar>
            <w:top w:w="0" w:type="dxa"/>
            <w:bottom w:w="0" w:type="dxa"/>
          </w:tcMar>
        </w:tcPr>
        <w:p w:rsidR="00D34F2C" w:rsidRPr="006517F0" w:rsidRDefault="00D34F2C">
          <w:pPr>
            <w:pStyle w:val="Intestazione"/>
            <w:rPr>
              <w:color w:val="FFFFFF" w:themeColor="background1"/>
              <w:sz w:val="28"/>
              <w:szCs w:val="28"/>
            </w:rPr>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F2C" w:rsidRDefault="00D34F2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12960"/>
    </w:tblGrid>
    <w:tr w:rsidR="00D34F2C" w:rsidTr="001F360C">
      <w:tc>
        <w:tcPr>
          <w:tcW w:w="12960" w:type="dxa"/>
          <w:tcMar>
            <w:top w:w="180" w:type="dxa"/>
            <w:bottom w:w="100" w:type="dxa"/>
          </w:tcMar>
        </w:tcPr>
        <w:p w:rsidR="00D34F2C" w:rsidRPr="001F360C" w:rsidRDefault="00D34F2C" w:rsidP="001F360C">
          <w:pPr>
            <w:pStyle w:val="Intestazione"/>
            <w:rPr>
              <w:rFonts w:ascii="Franklin Gothic Demi" w:hAnsi="Franklin Gothic Demi"/>
              <w:color w:val="FFFFFF" w:themeColor="background1"/>
              <w:spacing w:val="26"/>
            </w:rPr>
          </w:pPr>
          <w:r w:rsidRPr="001F360C">
            <w:rPr>
              <w:rFonts w:ascii="Franklin Gothic Demi" w:hAnsi="Franklin Gothic Demi"/>
              <w:color w:val="FFFFFF" w:themeColor="background1"/>
              <w:spacing w:val="26"/>
              <w:sz w:val="28"/>
            </w:rPr>
            <w:t>WHITE PAPER CFX</w:t>
          </w:r>
        </w:p>
      </w:tc>
    </w:tr>
    <w:tr w:rsidR="00D34F2C" w:rsidTr="001F360C">
      <w:trPr>
        <w:trHeight w:hRule="exact" w:val="274"/>
      </w:trPr>
      <w:tc>
        <w:tcPr>
          <w:tcW w:w="12960" w:type="dxa"/>
          <w:tcMar>
            <w:top w:w="0" w:type="dxa"/>
            <w:bottom w:w="0" w:type="dxa"/>
          </w:tcMar>
        </w:tcPr>
        <w:p w:rsidR="00D34F2C" w:rsidRPr="001F360C" w:rsidRDefault="00D34F2C" w:rsidP="001F360C">
          <w:pPr>
            <w:pStyle w:val="Intestazione"/>
            <w:spacing w:line="240" w:lineRule="auto"/>
            <w:rPr>
              <w:sz w:val="8"/>
            </w:rPr>
          </w:pPr>
        </w:p>
      </w:tc>
    </w:tr>
    <w:tr w:rsidR="00D34F2C" w:rsidTr="001F360C">
      <w:trPr>
        <w:trHeight w:hRule="exact" w:val="274"/>
      </w:trPr>
      <w:tc>
        <w:tcPr>
          <w:tcW w:w="12960" w:type="dxa"/>
          <w:tcMar>
            <w:top w:w="0" w:type="dxa"/>
            <w:bottom w:w="0" w:type="dxa"/>
          </w:tcMar>
        </w:tcPr>
        <w:p w:rsidR="00D34F2C" w:rsidRPr="001F360C" w:rsidRDefault="00D34F2C" w:rsidP="001F360C">
          <w:pPr>
            <w:pStyle w:val="Intestazione"/>
            <w:spacing w:line="240" w:lineRule="auto"/>
            <w:rPr>
              <w:sz w:val="8"/>
            </w:rP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6B7849B6"/>
    <w:lvl w:ilvl="0">
      <w:start w:val="1"/>
      <w:numFmt w:val="decimal"/>
      <w:lvlText w:val="%1."/>
      <w:lvlJc w:val="left"/>
      <w:pPr>
        <w:tabs>
          <w:tab w:val="num" w:pos="360"/>
        </w:tabs>
        <w:ind w:left="360"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15:restartNumberingAfterBreak="0">
    <w:nsid w:val="00000006"/>
    <w:multiLevelType w:val="hybridMultilevel"/>
    <w:tmpl w:val="00000006"/>
    <w:lvl w:ilvl="0" w:tplc="B04C075C">
      <w:start w:val="1"/>
      <w:numFmt w:val="bullet"/>
      <w:lvlText w:val="•"/>
      <w:lvlJc w:val="left"/>
      <w:pPr>
        <w:tabs>
          <w:tab w:val="num" w:pos="360"/>
        </w:tabs>
        <w:ind w:left="360" w:hanging="360"/>
      </w:pPr>
      <w:rPr>
        <w:rFonts w:ascii="Palatino Linotype" w:eastAsia="Palatino Linotype" w:hAnsi="Palatino Linotype" w:cs="Palatino Linotype"/>
      </w:rPr>
    </w:lvl>
    <w:lvl w:ilvl="1" w:tplc="CF1AC292">
      <w:start w:val="1"/>
      <w:numFmt w:val="bullet"/>
      <w:lvlText w:val="•"/>
      <w:lvlJc w:val="left"/>
      <w:pPr>
        <w:tabs>
          <w:tab w:val="num" w:pos="1080"/>
        </w:tabs>
        <w:ind w:left="1080" w:hanging="360"/>
      </w:pPr>
      <w:rPr>
        <w:rFonts w:ascii="Palatino Linotype" w:eastAsia="Palatino Linotype" w:hAnsi="Palatino Linotype" w:cs="Palatino Linotype"/>
      </w:rPr>
    </w:lvl>
    <w:lvl w:ilvl="2" w:tplc="DB3C3AEC">
      <w:start w:val="1"/>
      <w:numFmt w:val="bullet"/>
      <w:lvlText w:val=""/>
      <w:lvlJc w:val="left"/>
      <w:pPr>
        <w:tabs>
          <w:tab w:val="num" w:pos="1800"/>
        </w:tabs>
        <w:ind w:left="1800" w:hanging="360"/>
      </w:pPr>
      <w:rPr>
        <w:rFonts w:ascii="Wingdings" w:hAnsi="Wingdings"/>
      </w:rPr>
    </w:lvl>
    <w:lvl w:ilvl="3" w:tplc="F82A0652">
      <w:start w:val="1"/>
      <w:numFmt w:val="bullet"/>
      <w:lvlText w:val=""/>
      <w:lvlJc w:val="left"/>
      <w:pPr>
        <w:tabs>
          <w:tab w:val="num" w:pos="2520"/>
        </w:tabs>
        <w:ind w:left="2520" w:hanging="360"/>
      </w:pPr>
      <w:rPr>
        <w:rFonts w:ascii="Symbol" w:hAnsi="Symbol"/>
      </w:rPr>
    </w:lvl>
    <w:lvl w:ilvl="4" w:tplc="DDAE153E">
      <w:start w:val="1"/>
      <w:numFmt w:val="bullet"/>
      <w:lvlText w:val="o"/>
      <w:lvlJc w:val="left"/>
      <w:pPr>
        <w:tabs>
          <w:tab w:val="num" w:pos="3240"/>
        </w:tabs>
        <w:ind w:left="3240" w:hanging="360"/>
      </w:pPr>
      <w:rPr>
        <w:rFonts w:ascii="Courier New" w:hAnsi="Courier New"/>
      </w:rPr>
    </w:lvl>
    <w:lvl w:ilvl="5" w:tplc="35206402">
      <w:start w:val="1"/>
      <w:numFmt w:val="bullet"/>
      <w:lvlText w:val=""/>
      <w:lvlJc w:val="left"/>
      <w:pPr>
        <w:tabs>
          <w:tab w:val="num" w:pos="3960"/>
        </w:tabs>
        <w:ind w:left="3960" w:hanging="360"/>
      </w:pPr>
      <w:rPr>
        <w:rFonts w:ascii="Wingdings" w:hAnsi="Wingdings"/>
      </w:rPr>
    </w:lvl>
    <w:lvl w:ilvl="6" w:tplc="FF783AFE">
      <w:start w:val="1"/>
      <w:numFmt w:val="bullet"/>
      <w:lvlText w:val=""/>
      <w:lvlJc w:val="left"/>
      <w:pPr>
        <w:tabs>
          <w:tab w:val="num" w:pos="4680"/>
        </w:tabs>
        <w:ind w:left="4680" w:hanging="360"/>
      </w:pPr>
      <w:rPr>
        <w:rFonts w:ascii="Symbol" w:hAnsi="Symbol"/>
      </w:rPr>
    </w:lvl>
    <w:lvl w:ilvl="7" w:tplc="B3322F50">
      <w:start w:val="1"/>
      <w:numFmt w:val="bullet"/>
      <w:lvlText w:val="o"/>
      <w:lvlJc w:val="left"/>
      <w:pPr>
        <w:tabs>
          <w:tab w:val="num" w:pos="5400"/>
        </w:tabs>
        <w:ind w:left="5400" w:hanging="360"/>
      </w:pPr>
      <w:rPr>
        <w:rFonts w:ascii="Courier New" w:hAnsi="Courier New"/>
      </w:rPr>
    </w:lvl>
    <w:lvl w:ilvl="8" w:tplc="5DB2E724">
      <w:start w:val="1"/>
      <w:numFmt w:val="bullet"/>
      <w:lvlText w:val=""/>
      <w:lvlJc w:val="left"/>
      <w:pPr>
        <w:tabs>
          <w:tab w:val="num" w:pos="6120"/>
        </w:tabs>
        <w:ind w:left="6120" w:hanging="360"/>
      </w:pPr>
      <w:rPr>
        <w:rFonts w:ascii="Wingdings" w:hAnsi="Wingdings"/>
      </w:rPr>
    </w:lvl>
  </w:abstractNum>
  <w:abstractNum w:abstractNumId="2" w15:restartNumberingAfterBreak="0">
    <w:nsid w:val="00000009"/>
    <w:multiLevelType w:val="hybridMultilevel"/>
    <w:tmpl w:val="00000009"/>
    <w:lvl w:ilvl="0" w:tplc="367CC130">
      <w:start w:val="1"/>
      <w:numFmt w:val="bullet"/>
      <w:lvlText w:val="•"/>
      <w:lvlJc w:val="left"/>
      <w:pPr>
        <w:tabs>
          <w:tab w:val="num" w:pos="720"/>
        </w:tabs>
        <w:ind w:left="720" w:hanging="360"/>
      </w:pPr>
      <w:rPr>
        <w:rFonts w:ascii="Palatino Linotype" w:eastAsia="Palatino Linotype" w:hAnsi="Palatino Linotype" w:cs="Palatino Linotype"/>
      </w:rPr>
    </w:lvl>
    <w:lvl w:ilvl="1" w:tplc="DFC883C4">
      <w:start w:val="1"/>
      <w:numFmt w:val="bullet"/>
      <w:lvlText w:val="o"/>
      <w:lvlJc w:val="left"/>
      <w:pPr>
        <w:tabs>
          <w:tab w:val="num" w:pos="1440"/>
        </w:tabs>
        <w:ind w:left="1440" w:hanging="360"/>
      </w:pPr>
      <w:rPr>
        <w:rFonts w:ascii="Courier New" w:hAnsi="Courier New"/>
      </w:rPr>
    </w:lvl>
    <w:lvl w:ilvl="2" w:tplc="8BB656D2">
      <w:start w:val="1"/>
      <w:numFmt w:val="bullet"/>
      <w:lvlText w:val=""/>
      <w:lvlJc w:val="left"/>
      <w:pPr>
        <w:tabs>
          <w:tab w:val="num" w:pos="2160"/>
        </w:tabs>
        <w:ind w:left="2160" w:hanging="360"/>
      </w:pPr>
      <w:rPr>
        <w:rFonts w:ascii="Wingdings" w:hAnsi="Wingdings"/>
      </w:rPr>
    </w:lvl>
    <w:lvl w:ilvl="3" w:tplc="21E496A2">
      <w:start w:val="1"/>
      <w:numFmt w:val="bullet"/>
      <w:lvlText w:val=""/>
      <w:lvlJc w:val="left"/>
      <w:pPr>
        <w:tabs>
          <w:tab w:val="num" w:pos="2880"/>
        </w:tabs>
        <w:ind w:left="2880" w:hanging="360"/>
      </w:pPr>
      <w:rPr>
        <w:rFonts w:ascii="Symbol" w:hAnsi="Symbol"/>
      </w:rPr>
    </w:lvl>
    <w:lvl w:ilvl="4" w:tplc="6BD2E782">
      <w:start w:val="1"/>
      <w:numFmt w:val="bullet"/>
      <w:lvlText w:val="o"/>
      <w:lvlJc w:val="left"/>
      <w:pPr>
        <w:tabs>
          <w:tab w:val="num" w:pos="3600"/>
        </w:tabs>
        <w:ind w:left="3600" w:hanging="360"/>
      </w:pPr>
      <w:rPr>
        <w:rFonts w:ascii="Courier New" w:hAnsi="Courier New"/>
      </w:rPr>
    </w:lvl>
    <w:lvl w:ilvl="5" w:tplc="1978722C">
      <w:start w:val="1"/>
      <w:numFmt w:val="bullet"/>
      <w:lvlText w:val=""/>
      <w:lvlJc w:val="left"/>
      <w:pPr>
        <w:tabs>
          <w:tab w:val="num" w:pos="4320"/>
        </w:tabs>
        <w:ind w:left="4320" w:hanging="360"/>
      </w:pPr>
      <w:rPr>
        <w:rFonts w:ascii="Wingdings" w:hAnsi="Wingdings"/>
      </w:rPr>
    </w:lvl>
    <w:lvl w:ilvl="6" w:tplc="7C86895C">
      <w:start w:val="1"/>
      <w:numFmt w:val="bullet"/>
      <w:lvlText w:val=""/>
      <w:lvlJc w:val="left"/>
      <w:pPr>
        <w:tabs>
          <w:tab w:val="num" w:pos="5040"/>
        </w:tabs>
        <w:ind w:left="5040" w:hanging="360"/>
      </w:pPr>
      <w:rPr>
        <w:rFonts w:ascii="Symbol" w:hAnsi="Symbol"/>
      </w:rPr>
    </w:lvl>
    <w:lvl w:ilvl="7" w:tplc="1B4A6DDC">
      <w:start w:val="1"/>
      <w:numFmt w:val="bullet"/>
      <w:lvlText w:val="o"/>
      <w:lvlJc w:val="left"/>
      <w:pPr>
        <w:tabs>
          <w:tab w:val="num" w:pos="5760"/>
        </w:tabs>
        <w:ind w:left="5760" w:hanging="360"/>
      </w:pPr>
      <w:rPr>
        <w:rFonts w:ascii="Courier New" w:hAnsi="Courier New"/>
      </w:rPr>
    </w:lvl>
    <w:lvl w:ilvl="8" w:tplc="13201FF6">
      <w:start w:val="1"/>
      <w:numFmt w:val="bullet"/>
      <w:lvlText w:val=""/>
      <w:lvlJc w:val="left"/>
      <w:pPr>
        <w:tabs>
          <w:tab w:val="num" w:pos="6480"/>
        </w:tabs>
        <w:ind w:left="6480" w:hanging="360"/>
      </w:pPr>
      <w:rPr>
        <w:rFonts w:ascii="Wingdings" w:hAnsi="Wingdings"/>
      </w:rPr>
    </w:lvl>
  </w:abstractNum>
  <w:abstractNum w:abstractNumId="3" w15:restartNumberingAfterBreak="0">
    <w:nsid w:val="0000000C"/>
    <w:multiLevelType w:val="multilevel"/>
    <w:tmpl w:val="000000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F"/>
    <w:multiLevelType w:val="hybridMultilevel"/>
    <w:tmpl w:val="0000000F"/>
    <w:lvl w:ilvl="0" w:tplc="E51AB948">
      <w:start w:val="1"/>
      <w:numFmt w:val="bullet"/>
      <w:lvlText w:val="•"/>
      <w:lvlJc w:val="left"/>
      <w:pPr>
        <w:tabs>
          <w:tab w:val="num" w:pos="360"/>
        </w:tabs>
        <w:ind w:left="360" w:hanging="360"/>
      </w:pPr>
      <w:rPr>
        <w:rFonts w:ascii="Palatino Linotype" w:eastAsia="Palatino Linotype" w:hAnsi="Palatino Linotype" w:cs="Palatino Linotype"/>
      </w:rPr>
    </w:lvl>
    <w:lvl w:ilvl="1" w:tplc="A7F0327A">
      <w:start w:val="1"/>
      <w:numFmt w:val="bullet"/>
      <w:lvlText w:val="o"/>
      <w:lvlJc w:val="left"/>
      <w:pPr>
        <w:tabs>
          <w:tab w:val="num" w:pos="1080"/>
        </w:tabs>
        <w:ind w:left="1080" w:hanging="360"/>
      </w:pPr>
      <w:rPr>
        <w:rFonts w:ascii="Courier New" w:hAnsi="Courier New"/>
      </w:rPr>
    </w:lvl>
    <w:lvl w:ilvl="2" w:tplc="CAD85C1A">
      <w:start w:val="1"/>
      <w:numFmt w:val="bullet"/>
      <w:lvlText w:val=""/>
      <w:lvlJc w:val="left"/>
      <w:pPr>
        <w:tabs>
          <w:tab w:val="num" w:pos="1800"/>
        </w:tabs>
        <w:ind w:left="1800" w:hanging="360"/>
      </w:pPr>
      <w:rPr>
        <w:rFonts w:ascii="Wingdings" w:hAnsi="Wingdings"/>
      </w:rPr>
    </w:lvl>
    <w:lvl w:ilvl="3" w:tplc="DB6C7FA2">
      <w:start w:val="1"/>
      <w:numFmt w:val="bullet"/>
      <w:lvlText w:val=""/>
      <w:lvlJc w:val="left"/>
      <w:pPr>
        <w:tabs>
          <w:tab w:val="num" w:pos="2520"/>
        </w:tabs>
        <w:ind w:left="2520" w:hanging="360"/>
      </w:pPr>
      <w:rPr>
        <w:rFonts w:ascii="Symbol" w:hAnsi="Symbol"/>
      </w:rPr>
    </w:lvl>
    <w:lvl w:ilvl="4" w:tplc="0EB21F22">
      <w:start w:val="1"/>
      <w:numFmt w:val="bullet"/>
      <w:lvlText w:val="o"/>
      <w:lvlJc w:val="left"/>
      <w:pPr>
        <w:tabs>
          <w:tab w:val="num" w:pos="3240"/>
        </w:tabs>
        <w:ind w:left="3240" w:hanging="360"/>
      </w:pPr>
      <w:rPr>
        <w:rFonts w:ascii="Courier New" w:hAnsi="Courier New"/>
      </w:rPr>
    </w:lvl>
    <w:lvl w:ilvl="5" w:tplc="CC382D92">
      <w:start w:val="1"/>
      <w:numFmt w:val="bullet"/>
      <w:lvlText w:val=""/>
      <w:lvlJc w:val="left"/>
      <w:pPr>
        <w:tabs>
          <w:tab w:val="num" w:pos="3960"/>
        </w:tabs>
        <w:ind w:left="3960" w:hanging="360"/>
      </w:pPr>
      <w:rPr>
        <w:rFonts w:ascii="Wingdings" w:hAnsi="Wingdings"/>
      </w:rPr>
    </w:lvl>
    <w:lvl w:ilvl="6" w:tplc="A964CEEA">
      <w:start w:val="1"/>
      <w:numFmt w:val="bullet"/>
      <w:lvlText w:val=""/>
      <w:lvlJc w:val="left"/>
      <w:pPr>
        <w:tabs>
          <w:tab w:val="num" w:pos="4680"/>
        </w:tabs>
        <w:ind w:left="4680" w:hanging="360"/>
      </w:pPr>
      <w:rPr>
        <w:rFonts w:ascii="Symbol" w:hAnsi="Symbol"/>
      </w:rPr>
    </w:lvl>
    <w:lvl w:ilvl="7" w:tplc="A4F8270C">
      <w:start w:val="1"/>
      <w:numFmt w:val="bullet"/>
      <w:lvlText w:val="o"/>
      <w:lvlJc w:val="left"/>
      <w:pPr>
        <w:tabs>
          <w:tab w:val="num" w:pos="5400"/>
        </w:tabs>
        <w:ind w:left="5400" w:hanging="360"/>
      </w:pPr>
      <w:rPr>
        <w:rFonts w:ascii="Courier New" w:hAnsi="Courier New"/>
      </w:rPr>
    </w:lvl>
    <w:lvl w:ilvl="8" w:tplc="601ED5CC">
      <w:start w:val="1"/>
      <w:numFmt w:val="bullet"/>
      <w:lvlText w:val=""/>
      <w:lvlJc w:val="left"/>
      <w:pPr>
        <w:tabs>
          <w:tab w:val="num" w:pos="6120"/>
        </w:tabs>
        <w:ind w:left="6120" w:hanging="360"/>
      </w:pPr>
      <w:rPr>
        <w:rFonts w:ascii="Wingdings" w:hAnsi="Wingdings"/>
      </w:rPr>
    </w:lvl>
  </w:abstractNum>
  <w:abstractNum w:abstractNumId="5" w15:restartNumberingAfterBreak="0">
    <w:nsid w:val="00000011"/>
    <w:multiLevelType w:val="hybridMultilevel"/>
    <w:tmpl w:val="00000011"/>
    <w:lvl w:ilvl="0" w:tplc="399A57D8">
      <w:start w:val="1"/>
      <w:numFmt w:val="bullet"/>
      <w:lvlText w:val="•"/>
      <w:lvlJc w:val="left"/>
      <w:pPr>
        <w:tabs>
          <w:tab w:val="num" w:pos="360"/>
        </w:tabs>
        <w:ind w:left="360" w:hanging="360"/>
      </w:pPr>
      <w:rPr>
        <w:rFonts w:ascii="Palatino Linotype" w:eastAsia="Palatino Linotype" w:hAnsi="Palatino Linotype" w:cs="Palatino Linotype"/>
      </w:rPr>
    </w:lvl>
    <w:lvl w:ilvl="1" w:tplc="6F36D212">
      <w:start w:val="1"/>
      <w:numFmt w:val="bullet"/>
      <w:lvlText w:val="o"/>
      <w:lvlJc w:val="left"/>
      <w:pPr>
        <w:tabs>
          <w:tab w:val="num" w:pos="1080"/>
        </w:tabs>
        <w:ind w:left="1080" w:hanging="360"/>
      </w:pPr>
      <w:rPr>
        <w:rFonts w:ascii="Courier New" w:hAnsi="Courier New"/>
      </w:rPr>
    </w:lvl>
    <w:lvl w:ilvl="2" w:tplc="BC522DF4">
      <w:start w:val="1"/>
      <w:numFmt w:val="bullet"/>
      <w:lvlText w:val=""/>
      <w:lvlJc w:val="left"/>
      <w:pPr>
        <w:tabs>
          <w:tab w:val="num" w:pos="1800"/>
        </w:tabs>
        <w:ind w:left="1800" w:hanging="360"/>
      </w:pPr>
      <w:rPr>
        <w:rFonts w:ascii="Wingdings" w:hAnsi="Wingdings"/>
      </w:rPr>
    </w:lvl>
    <w:lvl w:ilvl="3" w:tplc="2E6E787E">
      <w:start w:val="1"/>
      <w:numFmt w:val="bullet"/>
      <w:lvlText w:val=""/>
      <w:lvlJc w:val="left"/>
      <w:pPr>
        <w:tabs>
          <w:tab w:val="num" w:pos="2520"/>
        </w:tabs>
        <w:ind w:left="2520" w:hanging="360"/>
      </w:pPr>
      <w:rPr>
        <w:rFonts w:ascii="Symbol" w:hAnsi="Symbol"/>
      </w:rPr>
    </w:lvl>
    <w:lvl w:ilvl="4" w:tplc="05F4AD78">
      <w:start w:val="1"/>
      <w:numFmt w:val="bullet"/>
      <w:lvlText w:val="o"/>
      <w:lvlJc w:val="left"/>
      <w:pPr>
        <w:tabs>
          <w:tab w:val="num" w:pos="3240"/>
        </w:tabs>
        <w:ind w:left="3240" w:hanging="360"/>
      </w:pPr>
      <w:rPr>
        <w:rFonts w:ascii="Courier New" w:hAnsi="Courier New"/>
      </w:rPr>
    </w:lvl>
    <w:lvl w:ilvl="5" w:tplc="860614BC">
      <w:start w:val="1"/>
      <w:numFmt w:val="bullet"/>
      <w:lvlText w:val=""/>
      <w:lvlJc w:val="left"/>
      <w:pPr>
        <w:tabs>
          <w:tab w:val="num" w:pos="3960"/>
        </w:tabs>
        <w:ind w:left="3960" w:hanging="360"/>
      </w:pPr>
      <w:rPr>
        <w:rFonts w:ascii="Wingdings" w:hAnsi="Wingdings"/>
      </w:rPr>
    </w:lvl>
    <w:lvl w:ilvl="6" w:tplc="DD4E8710">
      <w:start w:val="1"/>
      <w:numFmt w:val="bullet"/>
      <w:lvlText w:val=""/>
      <w:lvlJc w:val="left"/>
      <w:pPr>
        <w:tabs>
          <w:tab w:val="num" w:pos="4680"/>
        </w:tabs>
        <w:ind w:left="4680" w:hanging="360"/>
      </w:pPr>
      <w:rPr>
        <w:rFonts w:ascii="Symbol" w:hAnsi="Symbol"/>
      </w:rPr>
    </w:lvl>
    <w:lvl w:ilvl="7" w:tplc="17CE9AE8">
      <w:start w:val="1"/>
      <w:numFmt w:val="bullet"/>
      <w:lvlText w:val="o"/>
      <w:lvlJc w:val="left"/>
      <w:pPr>
        <w:tabs>
          <w:tab w:val="num" w:pos="5400"/>
        </w:tabs>
        <w:ind w:left="5400" w:hanging="360"/>
      </w:pPr>
      <w:rPr>
        <w:rFonts w:ascii="Courier New" w:hAnsi="Courier New"/>
      </w:rPr>
    </w:lvl>
    <w:lvl w:ilvl="8" w:tplc="26FCFCFC">
      <w:start w:val="1"/>
      <w:numFmt w:val="bullet"/>
      <w:lvlText w:val=""/>
      <w:lvlJc w:val="left"/>
      <w:pPr>
        <w:tabs>
          <w:tab w:val="num" w:pos="6120"/>
        </w:tabs>
        <w:ind w:left="6120" w:hanging="360"/>
      </w:pPr>
      <w:rPr>
        <w:rFonts w:ascii="Wingdings" w:hAnsi="Wingdings"/>
      </w:rPr>
    </w:lvl>
  </w:abstractNum>
  <w:abstractNum w:abstractNumId="6" w15:restartNumberingAfterBreak="0">
    <w:nsid w:val="00000012"/>
    <w:multiLevelType w:val="multilevel"/>
    <w:tmpl w:val="000000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14"/>
    <w:multiLevelType w:val="hybridMultilevel"/>
    <w:tmpl w:val="00000014"/>
    <w:lvl w:ilvl="0" w:tplc="09903E04">
      <w:start w:val="1"/>
      <w:numFmt w:val="bullet"/>
      <w:lvlText w:val="•"/>
      <w:lvlJc w:val="left"/>
      <w:pPr>
        <w:tabs>
          <w:tab w:val="num" w:pos="360"/>
        </w:tabs>
        <w:ind w:left="360" w:hanging="360"/>
      </w:pPr>
      <w:rPr>
        <w:rFonts w:ascii="Palatino Linotype" w:eastAsia="Palatino Linotype" w:hAnsi="Palatino Linotype" w:cs="Palatino Linotype"/>
      </w:rPr>
    </w:lvl>
    <w:lvl w:ilvl="1" w:tplc="AB148E0C">
      <w:start w:val="1"/>
      <w:numFmt w:val="bullet"/>
      <w:lvlText w:val="o"/>
      <w:lvlJc w:val="left"/>
      <w:pPr>
        <w:tabs>
          <w:tab w:val="num" w:pos="1080"/>
        </w:tabs>
        <w:ind w:left="1080" w:hanging="360"/>
      </w:pPr>
      <w:rPr>
        <w:rFonts w:ascii="Courier New" w:hAnsi="Courier New"/>
      </w:rPr>
    </w:lvl>
    <w:lvl w:ilvl="2" w:tplc="C6121EA2">
      <w:start w:val="1"/>
      <w:numFmt w:val="bullet"/>
      <w:lvlText w:val=""/>
      <w:lvlJc w:val="left"/>
      <w:pPr>
        <w:tabs>
          <w:tab w:val="num" w:pos="1800"/>
        </w:tabs>
        <w:ind w:left="1800" w:hanging="360"/>
      </w:pPr>
      <w:rPr>
        <w:rFonts w:ascii="Wingdings" w:hAnsi="Wingdings"/>
      </w:rPr>
    </w:lvl>
    <w:lvl w:ilvl="3" w:tplc="6D220AE6">
      <w:start w:val="1"/>
      <w:numFmt w:val="bullet"/>
      <w:lvlText w:val=""/>
      <w:lvlJc w:val="left"/>
      <w:pPr>
        <w:tabs>
          <w:tab w:val="num" w:pos="2520"/>
        </w:tabs>
        <w:ind w:left="2520" w:hanging="360"/>
      </w:pPr>
      <w:rPr>
        <w:rFonts w:ascii="Symbol" w:hAnsi="Symbol"/>
      </w:rPr>
    </w:lvl>
    <w:lvl w:ilvl="4" w:tplc="56D6AB16">
      <w:start w:val="1"/>
      <w:numFmt w:val="bullet"/>
      <w:lvlText w:val="o"/>
      <w:lvlJc w:val="left"/>
      <w:pPr>
        <w:tabs>
          <w:tab w:val="num" w:pos="3240"/>
        </w:tabs>
        <w:ind w:left="3240" w:hanging="360"/>
      </w:pPr>
      <w:rPr>
        <w:rFonts w:ascii="Courier New" w:hAnsi="Courier New"/>
      </w:rPr>
    </w:lvl>
    <w:lvl w:ilvl="5" w:tplc="1AB62290">
      <w:start w:val="1"/>
      <w:numFmt w:val="bullet"/>
      <w:lvlText w:val=""/>
      <w:lvlJc w:val="left"/>
      <w:pPr>
        <w:tabs>
          <w:tab w:val="num" w:pos="3960"/>
        </w:tabs>
        <w:ind w:left="3960" w:hanging="360"/>
      </w:pPr>
      <w:rPr>
        <w:rFonts w:ascii="Wingdings" w:hAnsi="Wingdings"/>
      </w:rPr>
    </w:lvl>
    <w:lvl w:ilvl="6" w:tplc="53B0F702">
      <w:start w:val="1"/>
      <w:numFmt w:val="bullet"/>
      <w:lvlText w:val=""/>
      <w:lvlJc w:val="left"/>
      <w:pPr>
        <w:tabs>
          <w:tab w:val="num" w:pos="4680"/>
        </w:tabs>
        <w:ind w:left="4680" w:hanging="360"/>
      </w:pPr>
      <w:rPr>
        <w:rFonts w:ascii="Symbol" w:hAnsi="Symbol"/>
      </w:rPr>
    </w:lvl>
    <w:lvl w:ilvl="7" w:tplc="C8C27516">
      <w:start w:val="1"/>
      <w:numFmt w:val="bullet"/>
      <w:lvlText w:val="o"/>
      <w:lvlJc w:val="left"/>
      <w:pPr>
        <w:tabs>
          <w:tab w:val="num" w:pos="5400"/>
        </w:tabs>
        <w:ind w:left="5400" w:hanging="360"/>
      </w:pPr>
      <w:rPr>
        <w:rFonts w:ascii="Courier New" w:hAnsi="Courier New"/>
      </w:rPr>
    </w:lvl>
    <w:lvl w:ilvl="8" w:tplc="2A08EE8A">
      <w:start w:val="1"/>
      <w:numFmt w:val="bullet"/>
      <w:lvlText w:val=""/>
      <w:lvlJc w:val="left"/>
      <w:pPr>
        <w:tabs>
          <w:tab w:val="num" w:pos="6120"/>
        </w:tabs>
        <w:ind w:left="6120" w:hanging="360"/>
      </w:pPr>
      <w:rPr>
        <w:rFonts w:ascii="Wingdings" w:hAnsi="Wingdings"/>
      </w:rPr>
    </w:lvl>
  </w:abstractNum>
  <w:abstractNum w:abstractNumId="8" w15:restartNumberingAfterBreak="0">
    <w:nsid w:val="00000015"/>
    <w:multiLevelType w:val="hybridMultilevel"/>
    <w:tmpl w:val="00000015"/>
    <w:lvl w:ilvl="0" w:tplc="A7E0D0DA">
      <w:start w:val="1"/>
      <w:numFmt w:val="bullet"/>
      <w:lvlText w:val="•"/>
      <w:lvlJc w:val="left"/>
      <w:pPr>
        <w:tabs>
          <w:tab w:val="num" w:pos="720"/>
        </w:tabs>
        <w:ind w:left="720" w:hanging="360"/>
      </w:pPr>
      <w:rPr>
        <w:rFonts w:ascii="Palatino Linotype" w:eastAsia="Palatino Linotype" w:hAnsi="Palatino Linotype" w:cs="Palatino Linotype"/>
      </w:rPr>
    </w:lvl>
    <w:lvl w:ilvl="1" w:tplc="C2E8D48A">
      <w:start w:val="1"/>
      <w:numFmt w:val="bullet"/>
      <w:lvlText w:val="o"/>
      <w:lvlJc w:val="left"/>
      <w:pPr>
        <w:tabs>
          <w:tab w:val="num" w:pos="1440"/>
        </w:tabs>
        <w:ind w:left="1440" w:hanging="360"/>
      </w:pPr>
      <w:rPr>
        <w:rFonts w:ascii="Courier New" w:hAnsi="Courier New"/>
      </w:rPr>
    </w:lvl>
    <w:lvl w:ilvl="2" w:tplc="74707BAA">
      <w:start w:val="1"/>
      <w:numFmt w:val="bullet"/>
      <w:lvlText w:val=""/>
      <w:lvlJc w:val="left"/>
      <w:pPr>
        <w:tabs>
          <w:tab w:val="num" w:pos="2160"/>
        </w:tabs>
        <w:ind w:left="2160" w:hanging="360"/>
      </w:pPr>
      <w:rPr>
        <w:rFonts w:ascii="Wingdings" w:hAnsi="Wingdings"/>
      </w:rPr>
    </w:lvl>
    <w:lvl w:ilvl="3" w:tplc="9A6E0BA2">
      <w:start w:val="1"/>
      <w:numFmt w:val="bullet"/>
      <w:lvlText w:val=""/>
      <w:lvlJc w:val="left"/>
      <w:pPr>
        <w:tabs>
          <w:tab w:val="num" w:pos="2880"/>
        </w:tabs>
        <w:ind w:left="2880" w:hanging="360"/>
      </w:pPr>
      <w:rPr>
        <w:rFonts w:ascii="Symbol" w:hAnsi="Symbol"/>
      </w:rPr>
    </w:lvl>
    <w:lvl w:ilvl="4" w:tplc="8ACEAAAE">
      <w:start w:val="1"/>
      <w:numFmt w:val="bullet"/>
      <w:lvlText w:val="o"/>
      <w:lvlJc w:val="left"/>
      <w:pPr>
        <w:tabs>
          <w:tab w:val="num" w:pos="3600"/>
        </w:tabs>
        <w:ind w:left="3600" w:hanging="360"/>
      </w:pPr>
      <w:rPr>
        <w:rFonts w:ascii="Courier New" w:hAnsi="Courier New"/>
      </w:rPr>
    </w:lvl>
    <w:lvl w:ilvl="5" w:tplc="6C825180">
      <w:start w:val="1"/>
      <w:numFmt w:val="bullet"/>
      <w:lvlText w:val=""/>
      <w:lvlJc w:val="left"/>
      <w:pPr>
        <w:tabs>
          <w:tab w:val="num" w:pos="4320"/>
        </w:tabs>
        <w:ind w:left="4320" w:hanging="360"/>
      </w:pPr>
      <w:rPr>
        <w:rFonts w:ascii="Wingdings" w:hAnsi="Wingdings"/>
      </w:rPr>
    </w:lvl>
    <w:lvl w:ilvl="6" w:tplc="EE7E0106">
      <w:start w:val="1"/>
      <w:numFmt w:val="bullet"/>
      <w:lvlText w:val=""/>
      <w:lvlJc w:val="left"/>
      <w:pPr>
        <w:tabs>
          <w:tab w:val="num" w:pos="5040"/>
        </w:tabs>
        <w:ind w:left="5040" w:hanging="360"/>
      </w:pPr>
      <w:rPr>
        <w:rFonts w:ascii="Symbol" w:hAnsi="Symbol"/>
      </w:rPr>
    </w:lvl>
    <w:lvl w:ilvl="7" w:tplc="861426E6">
      <w:start w:val="1"/>
      <w:numFmt w:val="bullet"/>
      <w:lvlText w:val="o"/>
      <w:lvlJc w:val="left"/>
      <w:pPr>
        <w:tabs>
          <w:tab w:val="num" w:pos="5760"/>
        </w:tabs>
        <w:ind w:left="5760" w:hanging="360"/>
      </w:pPr>
      <w:rPr>
        <w:rFonts w:ascii="Courier New" w:hAnsi="Courier New"/>
      </w:rPr>
    </w:lvl>
    <w:lvl w:ilvl="8" w:tplc="9B5CC6A6">
      <w:start w:val="1"/>
      <w:numFmt w:val="bullet"/>
      <w:lvlText w:val=""/>
      <w:lvlJc w:val="left"/>
      <w:pPr>
        <w:tabs>
          <w:tab w:val="num" w:pos="6480"/>
        </w:tabs>
        <w:ind w:left="6480" w:hanging="360"/>
      </w:pPr>
      <w:rPr>
        <w:rFonts w:ascii="Wingdings" w:hAnsi="Wingdings"/>
      </w:rPr>
    </w:lvl>
  </w:abstractNum>
  <w:abstractNum w:abstractNumId="9" w15:restartNumberingAfterBreak="0">
    <w:nsid w:val="00000016"/>
    <w:multiLevelType w:val="hybridMultilevel"/>
    <w:tmpl w:val="00000016"/>
    <w:lvl w:ilvl="0" w:tplc="2746FD74">
      <w:start w:val="1"/>
      <w:numFmt w:val="bullet"/>
      <w:lvlText w:val="•"/>
      <w:lvlJc w:val="left"/>
      <w:pPr>
        <w:tabs>
          <w:tab w:val="num" w:pos="720"/>
        </w:tabs>
        <w:ind w:left="720" w:hanging="360"/>
      </w:pPr>
      <w:rPr>
        <w:rFonts w:ascii="Palatino Linotype" w:eastAsia="Palatino Linotype" w:hAnsi="Palatino Linotype" w:cs="Palatino Linotype"/>
      </w:rPr>
    </w:lvl>
    <w:lvl w:ilvl="1" w:tplc="D7649530">
      <w:start w:val="1"/>
      <w:numFmt w:val="bullet"/>
      <w:lvlText w:val="o"/>
      <w:lvlJc w:val="left"/>
      <w:pPr>
        <w:tabs>
          <w:tab w:val="num" w:pos="1440"/>
        </w:tabs>
        <w:ind w:left="1440" w:hanging="360"/>
      </w:pPr>
      <w:rPr>
        <w:rFonts w:ascii="Courier New" w:hAnsi="Courier New"/>
      </w:rPr>
    </w:lvl>
    <w:lvl w:ilvl="2" w:tplc="C7B04E66">
      <w:start w:val="1"/>
      <w:numFmt w:val="bullet"/>
      <w:lvlText w:val=""/>
      <w:lvlJc w:val="left"/>
      <w:pPr>
        <w:tabs>
          <w:tab w:val="num" w:pos="2160"/>
        </w:tabs>
        <w:ind w:left="2160" w:hanging="360"/>
      </w:pPr>
      <w:rPr>
        <w:rFonts w:ascii="Wingdings" w:hAnsi="Wingdings"/>
      </w:rPr>
    </w:lvl>
    <w:lvl w:ilvl="3" w:tplc="1CB466B0">
      <w:start w:val="1"/>
      <w:numFmt w:val="bullet"/>
      <w:lvlText w:val=""/>
      <w:lvlJc w:val="left"/>
      <w:pPr>
        <w:tabs>
          <w:tab w:val="num" w:pos="2880"/>
        </w:tabs>
        <w:ind w:left="2880" w:hanging="360"/>
      </w:pPr>
      <w:rPr>
        <w:rFonts w:ascii="Symbol" w:hAnsi="Symbol"/>
      </w:rPr>
    </w:lvl>
    <w:lvl w:ilvl="4" w:tplc="C63EB124">
      <w:start w:val="1"/>
      <w:numFmt w:val="bullet"/>
      <w:lvlText w:val="o"/>
      <w:lvlJc w:val="left"/>
      <w:pPr>
        <w:tabs>
          <w:tab w:val="num" w:pos="3600"/>
        </w:tabs>
        <w:ind w:left="3600" w:hanging="360"/>
      </w:pPr>
      <w:rPr>
        <w:rFonts w:ascii="Courier New" w:hAnsi="Courier New"/>
      </w:rPr>
    </w:lvl>
    <w:lvl w:ilvl="5" w:tplc="44EEBD02">
      <w:start w:val="1"/>
      <w:numFmt w:val="bullet"/>
      <w:lvlText w:val=""/>
      <w:lvlJc w:val="left"/>
      <w:pPr>
        <w:tabs>
          <w:tab w:val="num" w:pos="4320"/>
        </w:tabs>
        <w:ind w:left="4320" w:hanging="360"/>
      </w:pPr>
      <w:rPr>
        <w:rFonts w:ascii="Wingdings" w:hAnsi="Wingdings"/>
      </w:rPr>
    </w:lvl>
    <w:lvl w:ilvl="6" w:tplc="73AC2E84">
      <w:start w:val="1"/>
      <w:numFmt w:val="bullet"/>
      <w:lvlText w:val=""/>
      <w:lvlJc w:val="left"/>
      <w:pPr>
        <w:tabs>
          <w:tab w:val="num" w:pos="5040"/>
        </w:tabs>
        <w:ind w:left="5040" w:hanging="360"/>
      </w:pPr>
      <w:rPr>
        <w:rFonts w:ascii="Symbol" w:hAnsi="Symbol"/>
      </w:rPr>
    </w:lvl>
    <w:lvl w:ilvl="7" w:tplc="FD44E104">
      <w:start w:val="1"/>
      <w:numFmt w:val="bullet"/>
      <w:lvlText w:val="o"/>
      <w:lvlJc w:val="left"/>
      <w:pPr>
        <w:tabs>
          <w:tab w:val="num" w:pos="5760"/>
        </w:tabs>
        <w:ind w:left="5760" w:hanging="360"/>
      </w:pPr>
      <w:rPr>
        <w:rFonts w:ascii="Courier New" w:hAnsi="Courier New"/>
      </w:rPr>
    </w:lvl>
    <w:lvl w:ilvl="8" w:tplc="1630A432">
      <w:start w:val="1"/>
      <w:numFmt w:val="bullet"/>
      <w:lvlText w:val=""/>
      <w:lvlJc w:val="left"/>
      <w:pPr>
        <w:tabs>
          <w:tab w:val="num" w:pos="6480"/>
        </w:tabs>
        <w:ind w:left="6480" w:hanging="360"/>
      </w:pPr>
      <w:rPr>
        <w:rFonts w:ascii="Wingdings" w:hAnsi="Wingdings"/>
      </w:rPr>
    </w:lvl>
  </w:abstractNum>
  <w:abstractNum w:abstractNumId="10" w15:restartNumberingAfterBreak="0">
    <w:nsid w:val="00000017"/>
    <w:multiLevelType w:val="hybridMultilevel"/>
    <w:tmpl w:val="00000017"/>
    <w:lvl w:ilvl="0" w:tplc="6E7C2B7A">
      <w:start w:val="1"/>
      <w:numFmt w:val="bullet"/>
      <w:lvlText w:val="•"/>
      <w:lvlJc w:val="left"/>
      <w:pPr>
        <w:tabs>
          <w:tab w:val="num" w:pos="720"/>
        </w:tabs>
        <w:ind w:left="720" w:hanging="360"/>
      </w:pPr>
      <w:rPr>
        <w:rFonts w:ascii="Palatino Linotype" w:eastAsia="Palatino Linotype" w:hAnsi="Palatino Linotype" w:cs="Palatino Linotype"/>
      </w:rPr>
    </w:lvl>
    <w:lvl w:ilvl="1" w:tplc="5BD8E98E">
      <w:start w:val="1"/>
      <w:numFmt w:val="bullet"/>
      <w:lvlText w:val="o"/>
      <w:lvlJc w:val="left"/>
      <w:pPr>
        <w:tabs>
          <w:tab w:val="num" w:pos="1440"/>
        </w:tabs>
        <w:ind w:left="1440" w:hanging="360"/>
      </w:pPr>
      <w:rPr>
        <w:rFonts w:ascii="Courier New" w:hAnsi="Courier New"/>
      </w:rPr>
    </w:lvl>
    <w:lvl w:ilvl="2" w:tplc="92C295C0">
      <w:start w:val="1"/>
      <w:numFmt w:val="bullet"/>
      <w:lvlText w:val=""/>
      <w:lvlJc w:val="left"/>
      <w:pPr>
        <w:tabs>
          <w:tab w:val="num" w:pos="2160"/>
        </w:tabs>
        <w:ind w:left="2160" w:hanging="360"/>
      </w:pPr>
      <w:rPr>
        <w:rFonts w:ascii="Wingdings" w:hAnsi="Wingdings"/>
      </w:rPr>
    </w:lvl>
    <w:lvl w:ilvl="3" w:tplc="95985AD8">
      <w:start w:val="1"/>
      <w:numFmt w:val="bullet"/>
      <w:lvlText w:val=""/>
      <w:lvlJc w:val="left"/>
      <w:pPr>
        <w:tabs>
          <w:tab w:val="num" w:pos="2880"/>
        </w:tabs>
        <w:ind w:left="2880" w:hanging="360"/>
      </w:pPr>
      <w:rPr>
        <w:rFonts w:ascii="Symbol" w:hAnsi="Symbol"/>
      </w:rPr>
    </w:lvl>
    <w:lvl w:ilvl="4" w:tplc="76089472">
      <w:start w:val="1"/>
      <w:numFmt w:val="bullet"/>
      <w:lvlText w:val="o"/>
      <w:lvlJc w:val="left"/>
      <w:pPr>
        <w:tabs>
          <w:tab w:val="num" w:pos="3600"/>
        </w:tabs>
        <w:ind w:left="3600" w:hanging="360"/>
      </w:pPr>
      <w:rPr>
        <w:rFonts w:ascii="Courier New" w:hAnsi="Courier New"/>
      </w:rPr>
    </w:lvl>
    <w:lvl w:ilvl="5" w:tplc="4EC081C6">
      <w:start w:val="1"/>
      <w:numFmt w:val="bullet"/>
      <w:lvlText w:val=""/>
      <w:lvlJc w:val="left"/>
      <w:pPr>
        <w:tabs>
          <w:tab w:val="num" w:pos="4320"/>
        </w:tabs>
        <w:ind w:left="4320" w:hanging="360"/>
      </w:pPr>
      <w:rPr>
        <w:rFonts w:ascii="Wingdings" w:hAnsi="Wingdings"/>
      </w:rPr>
    </w:lvl>
    <w:lvl w:ilvl="6" w:tplc="2E8C3B44">
      <w:start w:val="1"/>
      <w:numFmt w:val="bullet"/>
      <w:lvlText w:val=""/>
      <w:lvlJc w:val="left"/>
      <w:pPr>
        <w:tabs>
          <w:tab w:val="num" w:pos="5040"/>
        </w:tabs>
        <w:ind w:left="5040" w:hanging="360"/>
      </w:pPr>
      <w:rPr>
        <w:rFonts w:ascii="Symbol" w:hAnsi="Symbol"/>
      </w:rPr>
    </w:lvl>
    <w:lvl w:ilvl="7" w:tplc="0E226E72">
      <w:start w:val="1"/>
      <w:numFmt w:val="bullet"/>
      <w:lvlText w:val="o"/>
      <w:lvlJc w:val="left"/>
      <w:pPr>
        <w:tabs>
          <w:tab w:val="num" w:pos="5760"/>
        </w:tabs>
        <w:ind w:left="5760" w:hanging="360"/>
      </w:pPr>
      <w:rPr>
        <w:rFonts w:ascii="Courier New" w:hAnsi="Courier New"/>
      </w:rPr>
    </w:lvl>
    <w:lvl w:ilvl="8" w:tplc="6E88CB0A">
      <w:start w:val="1"/>
      <w:numFmt w:val="bullet"/>
      <w:lvlText w:val=""/>
      <w:lvlJc w:val="left"/>
      <w:pPr>
        <w:tabs>
          <w:tab w:val="num" w:pos="6480"/>
        </w:tabs>
        <w:ind w:left="6480" w:hanging="360"/>
      </w:pPr>
      <w:rPr>
        <w:rFonts w:ascii="Wingdings" w:hAnsi="Wingdings"/>
      </w:rPr>
    </w:lvl>
  </w:abstractNum>
  <w:abstractNum w:abstractNumId="11" w15:restartNumberingAfterBreak="0">
    <w:nsid w:val="00000018"/>
    <w:multiLevelType w:val="hybridMultilevel"/>
    <w:tmpl w:val="00000018"/>
    <w:lvl w:ilvl="0" w:tplc="B4D0393E">
      <w:start w:val="1"/>
      <w:numFmt w:val="bullet"/>
      <w:lvlText w:val="•"/>
      <w:lvlJc w:val="left"/>
      <w:pPr>
        <w:tabs>
          <w:tab w:val="num" w:pos="720"/>
        </w:tabs>
        <w:ind w:left="720" w:hanging="360"/>
      </w:pPr>
      <w:rPr>
        <w:rFonts w:ascii="Palatino Linotype" w:eastAsia="Palatino Linotype" w:hAnsi="Palatino Linotype" w:cs="Palatino Linotype"/>
      </w:rPr>
    </w:lvl>
    <w:lvl w:ilvl="1" w:tplc="5560BEEE">
      <w:start w:val="1"/>
      <w:numFmt w:val="bullet"/>
      <w:lvlText w:val="o"/>
      <w:lvlJc w:val="left"/>
      <w:pPr>
        <w:tabs>
          <w:tab w:val="num" w:pos="1440"/>
        </w:tabs>
        <w:ind w:left="1440" w:hanging="360"/>
      </w:pPr>
      <w:rPr>
        <w:rFonts w:ascii="Courier New" w:hAnsi="Courier New"/>
      </w:rPr>
    </w:lvl>
    <w:lvl w:ilvl="2" w:tplc="3C3A0D66">
      <w:start w:val="1"/>
      <w:numFmt w:val="bullet"/>
      <w:lvlText w:val=""/>
      <w:lvlJc w:val="left"/>
      <w:pPr>
        <w:tabs>
          <w:tab w:val="num" w:pos="2160"/>
        </w:tabs>
        <w:ind w:left="2160" w:hanging="360"/>
      </w:pPr>
      <w:rPr>
        <w:rFonts w:ascii="Wingdings" w:hAnsi="Wingdings"/>
      </w:rPr>
    </w:lvl>
    <w:lvl w:ilvl="3" w:tplc="4EC0751C">
      <w:start w:val="1"/>
      <w:numFmt w:val="bullet"/>
      <w:lvlText w:val=""/>
      <w:lvlJc w:val="left"/>
      <w:pPr>
        <w:tabs>
          <w:tab w:val="num" w:pos="2880"/>
        </w:tabs>
        <w:ind w:left="2880" w:hanging="360"/>
      </w:pPr>
      <w:rPr>
        <w:rFonts w:ascii="Symbol" w:hAnsi="Symbol"/>
      </w:rPr>
    </w:lvl>
    <w:lvl w:ilvl="4" w:tplc="487E73F6">
      <w:start w:val="1"/>
      <w:numFmt w:val="bullet"/>
      <w:lvlText w:val="o"/>
      <w:lvlJc w:val="left"/>
      <w:pPr>
        <w:tabs>
          <w:tab w:val="num" w:pos="3600"/>
        </w:tabs>
        <w:ind w:left="3600" w:hanging="360"/>
      </w:pPr>
      <w:rPr>
        <w:rFonts w:ascii="Courier New" w:hAnsi="Courier New"/>
      </w:rPr>
    </w:lvl>
    <w:lvl w:ilvl="5" w:tplc="14CAE328">
      <w:start w:val="1"/>
      <w:numFmt w:val="bullet"/>
      <w:lvlText w:val=""/>
      <w:lvlJc w:val="left"/>
      <w:pPr>
        <w:tabs>
          <w:tab w:val="num" w:pos="4320"/>
        </w:tabs>
        <w:ind w:left="4320" w:hanging="360"/>
      </w:pPr>
      <w:rPr>
        <w:rFonts w:ascii="Wingdings" w:hAnsi="Wingdings"/>
      </w:rPr>
    </w:lvl>
    <w:lvl w:ilvl="6" w:tplc="324AB56E">
      <w:start w:val="1"/>
      <w:numFmt w:val="bullet"/>
      <w:lvlText w:val=""/>
      <w:lvlJc w:val="left"/>
      <w:pPr>
        <w:tabs>
          <w:tab w:val="num" w:pos="5040"/>
        </w:tabs>
        <w:ind w:left="5040" w:hanging="360"/>
      </w:pPr>
      <w:rPr>
        <w:rFonts w:ascii="Symbol" w:hAnsi="Symbol"/>
      </w:rPr>
    </w:lvl>
    <w:lvl w:ilvl="7" w:tplc="CF5A51AC">
      <w:start w:val="1"/>
      <w:numFmt w:val="bullet"/>
      <w:lvlText w:val="o"/>
      <w:lvlJc w:val="left"/>
      <w:pPr>
        <w:tabs>
          <w:tab w:val="num" w:pos="5760"/>
        </w:tabs>
        <w:ind w:left="5760" w:hanging="360"/>
      </w:pPr>
      <w:rPr>
        <w:rFonts w:ascii="Courier New" w:hAnsi="Courier New"/>
      </w:rPr>
    </w:lvl>
    <w:lvl w:ilvl="8" w:tplc="869ED7CC">
      <w:start w:val="1"/>
      <w:numFmt w:val="bullet"/>
      <w:lvlText w:val=""/>
      <w:lvlJc w:val="left"/>
      <w:pPr>
        <w:tabs>
          <w:tab w:val="num" w:pos="6480"/>
        </w:tabs>
        <w:ind w:left="6480" w:hanging="360"/>
      </w:pPr>
      <w:rPr>
        <w:rFonts w:ascii="Wingdings" w:hAnsi="Wingdings"/>
      </w:rPr>
    </w:lvl>
  </w:abstractNum>
  <w:abstractNum w:abstractNumId="12" w15:restartNumberingAfterBreak="0">
    <w:nsid w:val="00000019"/>
    <w:multiLevelType w:val="hybridMultilevel"/>
    <w:tmpl w:val="00000019"/>
    <w:lvl w:ilvl="0" w:tplc="70201210">
      <w:start w:val="1"/>
      <w:numFmt w:val="bullet"/>
      <w:lvlText w:val="•"/>
      <w:lvlJc w:val="left"/>
      <w:pPr>
        <w:tabs>
          <w:tab w:val="num" w:pos="720"/>
        </w:tabs>
        <w:ind w:left="720" w:hanging="360"/>
      </w:pPr>
      <w:rPr>
        <w:rFonts w:ascii="Palatino Linotype" w:eastAsia="Palatino Linotype" w:hAnsi="Palatino Linotype" w:cs="Palatino Linotype"/>
      </w:rPr>
    </w:lvl>
    <w:lvl w:ilvl="1" w:tplc="6952D2C8">
      <w:start w:val="1"/>
      <w:numFmt w:val="bullet"/>
      <w:lvlText w:val="o"/>
      <w:lvlJc w:val="left"/>
      <w:pPr>
        <w:tabs>
          <w:tab w:val="num" w:pos="1440"/>
        </w:tabs>
        <w:ind w:left="1440" w:hanging="360"/>
      </w:pPr>
      <w:rPr>
        <w:rFonts w:ascii="Courier New" w:hAnsi="Courier New"/>
      </w:rPr>
    </w:lvl>
    <w:lvl w:ilvl="2" w:tplc="CAACE6A4">
      <w:start w:val="1"/>
      <w:numFmt w:val="bullet"/>
      <w:lvlText w:val=""/>
      <w:lvlJc w:val="left"/>
      <w:pPr>
        <w:tabs>
          <w:tab w:val="num" w:pos="2160"/>
        </w:tabs>
        <w:ind w:left="2160" w:hanging="360"/>
      </w:pPr>
      <w:rPr>
        <w:rFonts w:ascii="Wingdings" w:hAnsi="Wingdings"/>
      </w:rPr>
    </w:lvl>
    <w:lvl w:ilvl="3" w:tplc="D3ACE5F2">
      <w:start w:val="1"/>
      <w:numFmt w:val="bullet"/>
      <w:lvlText w:val=""/>
      <w:lvlJc w:val="left"/>
      <w:pPr>
        <w:tabs>
          <w:tab w:val="num" w:pos="2880"/>
        </w:tabs>
        <w:ind w:left="2880" w:hanging="360"/>
      </w:pPr>
      <w:rPr>
        <w:rFonts w:ascii="Symbol" w:hAnsi="Symbol"/>
      </w:rPr>
    </w:lvl>
    <w:lvl w:ilvl="4" w:tplc="2F38FCD0">
      <w:start w:val="1"/>
      <w:numFmt w:val="bullet"/>
      <w:lvlText w:val="o"/>
      <w:lvlJc w:val="left"/>
      <w:pPr>
        <w:tabs>
          <w:tab w:val="num" w:pos="3600"/>
        </w:tabs>
        <w:ind w:left="3600" w:hanging="360"/>
      </w:pPr>
      <w:rPr>
        <w:rFonts w:ascii="Courier New" w:hAnsi="Courier New"/>
      </w:rPr>
    </w:lvl>
    <w:lvl w:ilvl="5" w:tplc="46ACA222">
      <w:start w:val="1"/>
      <w:numFmt w:val="bullet"/>
      <w:lvlText w:val=""/>
      <w:lvlJc w:val="left"/>
      <w:pPr>
        <w:tabs>
          <w:tab w:val="num" w:pos="4320"/>
        </w:tabs>
        <w:ind w:left="4320" w:hanging="360"/>
      </w:pPr>
      <w:rPr>
        <w:rFonts w:ascii="Wingdings" w:hAnsi="Wingdings"/>
      </w:rPr>
    </w:lvl>
    <w:lvl w:ilvl="6" w:tplc="865E2DEA">
      <w:start w:val="1"/>
      <w:numFmt w:val="bullet"/>
      <w:lvlText w:val=""/>
      <w:lvlJc w:val="left"/>
      <w:pPr>
        <w:tabs>
          <w:tab w:val="num" w:pos="5040"/>
        </w:tabs>
        <w:ind w:left="5040" w:hanging="360"/>
      </w:pPr>
      <w:rPr>
        <w:rFonts w:ascii="Symbol" w:hAnsi="Symbol"/>
      </w:rPr>
    </w:lvl>
    <w:lvl w:ilvl="7" w:tplc="E410FC14">
      <w:start w:val="1"/>
      <w:numFmt w:val="bullet"/>
      <w:lvlText w:val="o"/>
      <w:lvlJc w:val="left"/>
      <w:pPr>
        <w:tabs>
          <w:tab w:val="num" w:pos="5760"/>
        </w:tabs>
        <w:ind w:left="5760" w:hanging="360"/>
      </w:pPr>
      <w:rPr>
        <w:rFonts w:ascii="Courier New" w:hAnsi="Courier New"/>
      </w:rPr>
    </w:lvl>
    <w:lvl w:ilvl="8" w:tplc="17DCDC4A">
      <w:start w:val="1"/>
      <w:numFmt w:val="bullet"/>
      <w:lvlText w:val=""/>
      <w:lvlJc w:val="left"/>
      <w:pPr>
        <w:tabs>
          <w:tab w:val="num" w:pos="6480"/>
        </w:tabs>
        <w:ind w:left="6480" w:hanging="360"/>
      </w:pPr>
      <w:rPr>
        <w:rFonts w:ascii="Wingdings" w:hAnsi="Wingdings"/>
      </w:rPr>
    </w:lvl>
  </w:abstractNum>
  <w:abstractNum w:abstractNumId="13" w15:restartNumberingAfterBreak="0">
    <w:nsid w:val="0000001A"/>
    <w:multiLevelType w:val="hybridMultilevel"/>
    <w:tmpl w:val="0000001A"/>
    <w:lvl w:ilvl="0" w:tplc="AE16F314">
      <w:start w:val="1"/>
      <w:numFmt w:val="bullet"/>
      <w:lvlText w:val="•"/>
      <w:lvlJc w:val="left"/>
      <w:pPr>
        <w:tabs>
          <w:tab w:val="num" w:pos="720"/>
        </w:tabs>
        <w:ind w:left="720" w:hanging="360"/>
      </w:pPr>
      <w:rPr>
        <w:rFonts w:ascii="Palatino Linotype" w:eastAsia="Palatino Linotype" w:hAnsi="Palatino Linotype" w:cs="Palatino Linotype"/>
      </w:rPr>
    </w:lvl>
    <w:lvl w:ilvl="1" w:tplc="D1E00E96">
      <w:start w:val="1"/>
      <w:numFmt w:val="bullet"/>
      <w:lvlText w:val="o"/>
      <w:lvlJc w:val="left"/>
      <w:pPr>
        <w:tabs>
          <w:tab w:val="num" w:pos="1440"/>
        </w:tabs>
        <w:ind w:left="1440" w:hanging="360"/>
      </w:pPr>
      <w:rPr>
        <w:rFonts w:ascii="Courier New" w:hAnsi="Courier New"/>
      </w:rPr>
    </w:lvl>
    <w:lvl w:ilvl="2" w:tplc="0EDC85C8">
      <w:start w:val="1"/>
      <w:numFmt w:val="bullet"/>
      <w:lvlText w:val=""/>
      <w:lvlJc w:val="left"/>
      <w:pPr>
        <w:tabs>
          <w:tab w:val="num" w:pos="2160"/>
        </w:tabs>
        <w:ind w:left="2160" w:hanging="360"/>
      </w:pPr>
      <w:rPr>
        <w:rFonts w:ascii="Wingdings" w:hAnsi="Wingdings"/>
      </w:rPr>
    </w:lvl>
    <w:lvl w:ilvl="3" w:tplc="BD469818">
      <w:start w:val="1"/>
      <w:numFmt w:val="bullet"/>
      <w:lvlText w:val=""/>
      <w:lvlJc w:val="left"/>
      <w:pPr>
        <w:tabs>
          <w:tab w:val="num" w:pos="2880"/>
        </w:tabs>
        <w:ind w:left="2880" w:hanging="360"/>
      </w:pPr>
      <w:rPr>
        <w:rFonts w:ascii="Symbol" w:hAnsi="Symbol"/>
      </w:rPr>
    </w:lvl>
    <w:lvl w:ilvl="4" w:tplc="3984D830">
      <w:start w:val="1"/>
      <w:numFmt w:val="bullet"/>
      <w:lvlText w:val="o"/>
      <w:lvlJc w:val="left"/>
      <w:pPr>
        <w:tabs>
          <w:tab w:val="num" w:pos="3600"/>
        </w:tabs>
        <w:ind w:left="3600" w:hanging="360"/>
      </w:pPr>
      <w:rPr>
        <w:rFonts w:ascii="Courier New" w:hAnsi="Courier New"/>
      </w:rPr>
    </w:lvl>
    <w:lvl w:ilvl="5" w:tplc="4C62E240">
      <w:start w:val="1"/>
      <w:numFmt w:val="bullet"/>
      <w:lvlText w:val=""/>
      <w:lvlJc w:val="left"/>
      <w:pPr>
        <w:tabs>
          <w:tab w:val="num" w:pos="4320"/>
        </w:tabs>
        <w:ind w:left="4320" w:hanging="360"/>
      </w:pPr>
      <w:rPr>
        <w:rFonts w:ascii="Wingdings" w:hAnsi="Wingdings"/>
      </w:rPr>
    </w:lvl>
    <w:lvl w:ilvl="6" w:tplc="472E3ABC">
      <w:start w:val="1"/>
      <w:numFmt w:val="bullet"/>
      <w:lvlText w:val=""/>
      <w:lvlJc w:val="left"/>
      <w:pPr>
        <w:tabs>
          <w:tab w:val="num" w:pos="5040"/>
        </w:tabs>
        <w:ind w:left="5040" w:hanging="360"/>
      </w:pPr>
      <w:rPr>
        <w:rFonts w:ascii="Symbol" w:hAnsi="Symbol"/>
      </w:rPr>
    </w:lvl>
    <w:lvl w:ilvl="7" w:tplc="AF6E7BF8">
      <w:start w:val="1"/>
      <w:numFmt w:val="bullet"/>
      <w:lvlText w:val="o"/>
      <w:lvlJc w:val="left"/>
      <w:pPr>
        <w:tabs>
          <w:tab w:val="num" w:pos="5760"/>
        </w:tabs>
        <w:ind w:left="5760" w:hanging="360"/>
      </w:pPr>
      <w:rPr>
        <w:rFonts w:ascii="Courier New" w:hAnsi="Courier New"/>
      </w:rPr>
    </w:lvl>
    <w:lvl w:ilvl="8" w:tplc="7938C3D0">
      <w:start w:val="1"/>
      <w:numFmt w:val="bullet"/>
      <w:lvlText w:val=""/>
      <w:lvlJc w:val="left"/>
      <w:pPr>
        <w:tabs>
          <w:tab w:val="num" w:pos="6480"/>
        </w:tabs>
        <w:ind w:left="6480" w:hanging="360"/>
      </w:pPr>
      <w:rPr>
        <w:rFonts w:ascii="Wingdings" w:hAnsi="Wingdings"/>
      </w:rPr>
    </w:lvl>
  </w:abstractNum>
  <w:abstractNum w:abstractNumId="14" w15:restartNumberingAfterBreak="0">
    <w:nsid w:val="02E007B2"/>
    <w:multiLevelType w:val="hybridMultilevel"/>
    <w:tmpl w:val="CEF40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31434CB"/>
    <w:multiLevelType w:val="hybridMultilevel"/>
    <w:tmpl w:val="097AC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50372C"/>
    <w:multiLevelType w:val="hybridMultilevel"/>
    <w:tmpl w:val="8EE8E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D7159F"/>
    <w:multiLevelType w:val="hybridMultilevel"/>
    <w:tmpl w:val="40207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BD64A5F"/>
    <w:multiLevelType w:val="hybridMultilevel"/>
    <w:tmpl w:val="B32AF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3E85130"/>
    <w:multiLevelType w:val="multilevel"/>
    <w:tmpl w:val="F782D3B4"/>
    <w:lvl w:ilvl="0">
      <w:start w:val="1"/>
      <w:numFmt w:val="bullet"/>
      <w:lvlText w:val="-"/>
      <w:lvlJc w:val="left"/>
      <w:pPr>
        <w:ind w:left="720" w:hanging="360"/>
      </w:pPr>
      <w:rPr>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C873074"/>
    <w:multiLevelType w:val="hybridMultilevel"/>
    <w:tmpl w:val="176E5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3006B07"/>
    <w:multiLevelType w:val="multilevel"/>
    <w:tmpl w:val="914C806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2" w15:restartNumberingAfterBreak="0">
    <w:nsid w:val="251C60AA"/>
    <w:multiLevelType w:val="hybridMultilevel"/>
    <w:tmpl w:val="57361C40"/>
    <w:lvl w:ilvl="0" w:tplc="41909CFA">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E88ED7A">
      <w:start w:val="1"/>
      <w:numFmt w:val="lowerLetter"/>
      <w:lvlText w:val="(%2)"/>
      <w:lvlJc w:val="left"/>
      <w:pPr>
        <w:ind w:left="10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564C916">
      <w:start w:val="1"/>
      <w:numFmt w:val="lowerRoman"/>
      <w:lvlText w:val="%3"/>
      <w:lvlJc w:val="left"/>
      <w:pPr>
        <w:ind w:left="17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34A15A">
      <w:start w:val="1"/>
      <w:numFmt w:val="decimal"/>
      <w:lvlText w:val="%4"/>
      <w:lvlJc w:val="left"/>
      <w:pPr>
        <w:ind w:left="24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5A2E46">
      <w:start w:val="1"/>
      <w:numFmt w:val="lowerLetter"/>
      <w:lvlText w:val="%5"/>
      <w:lvlJc w:val="left"/>
      <w:pPr>
        <w:ind w:left="31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9EE0A9E">
      <w:start w:val="1"/>
      <w:numFmt w:val="lowerRoman"/>
      <w:lvlText w:val="%6"/>
      <w:lvlJc w:val="left"/>
      <w:pPr>
        <w:ind w:left="39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998EB68">
      <w:start w:val="1"/>
      <w:numFmt w:val="decimal"/>
      <w:lvlText w:val="%7"/>
      <w:lvlJc w:val="left"/>
      <w:pPr>
        <w:ind w:left="4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F1EC3C6">
      <w:start w:val="1"/>
      <w:numFmt w:val="lowerLetter"/>
      <w:lvlText w:val="%8"/>
      <w:lvlJc w:val="left"/>
      <w:pPr>
        <w:ind w:left="53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FD8A862">
      <w:start w:val="1"/>
      <w:numFmt w:val="lowerRoman"/>
      <w:lvlText w:val="%9"/>
      <w:lvlJc w:val="left"/>
      <w:pPr>
        <w:ind w:left="60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E040CF0"/>
    <w:multiLevelType w:val="hybridMultilevel"/>
    <w:tmpl w:val="08E806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CD209A6"/>
    <w:multiLevelType w:val="hybridMultilevel"/>
    <w:tmpl w:val="BC662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77175E7"/>
    <w:multiLevelType w:val="hybridMultilevel"/>
    <w:tmpl w:val="C9C05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A162A3"/>
    <w:multiLevelType w:val="hybridMultilevel"/>
    <w:tmpl w:val="961882D4"/>
    <w:lvl w:ilvl="0" w:tplc="D3F05C86">
      <w:start w:val="1"/>
      <w:numFmt w:val="bullet"/>
      <w:lvlText w:val=""/>
      <w:lvlJc w:val="left"/>
      <w:pPr>
        <w:ind w:left="720" w:hanging="360"/>
      </w:pPr>
      <w:rPr>
        <w:rFonts w:ascii="Wingdings" w:hAnsi="Wingding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457AF5"/>
    <w:multiLevelType w:val="hybridMultilevel"/>
    <w:tmpl w:val="B2F4AD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6AB34BB"/>
    <w:multiLevelType w:val="hybridMultilevel"/>
    <w:tmpl w:val="40C4E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CDC0A2E"/>
    <w:multiLevelType w:val="hybridMultilevel"/>
    <w:tmpl w:val="7CE023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80E1007"/>
    <w:multiLevelType w:val="hybridMultilevel"/>
    <w:tmpl w:val="3EF6E7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8CF6957"/>
    <w:multiLevelType w:val="hybridMultilevel"/>
    <w:tmpl w:val="E1E22C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EFC6381"/>
    <w:multiLevelType w:val="multilevel"/>
    <w:tmpl w:val="41945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30"/>
  </w:num>
  <w:num w:numId="16">
    <w:abstractNumId w:val="24"/>
  </w:num>
  <w:num w:numId="17">
    <w:abstractNumId w:val="31"/>
  </w:num>
  <w:num w:numId="18">
    <w:abstractNumId w:val="29"/>
  </w:num>
  <w:num w:numId="19">
    <w:abstractNumId w:val="21"/>
  </w:num>
  <w:num w:numId="20">
    <w:abstractNumId w:val="32"/>
  </w:num>
  <w:num w:numId="21">
    <w:abstractNumId w:val="19"/>
  </w:num>
  <w:num w:numId="22">
    <w:abstractNumId w:val="26"/>
  </w:num>
  <w:num w:numId="23">
    <w:abstractNumId w:val="25"/>
  </w:num>
  <w:num w:numId="24">
    <w:abstractNumId w:val="15"/>
  </w:num>
  <w:num w:numId="25">
    <w:abstractNumId w:val="20"/>
  </w:num>
  <w:num w:numId="26">
    <w:abstractNumId w:val="14"/>
  </w:num>
  <w:num w:numId="27">
    <w:abstractNumId w:val="28"/>
  </w:num>
  <w:num w:numId="28">
    <w:abstractNumId w:val="22"/>
  </w:num>
  <w:num w:numId="29">
    <w:abstractNumId w:val="23"/>
  </w:num>
  <w:num w:numId="30">
    <w:abstractNumId w:val="27"/>
  </w:num>
  <w:num w:numId="31">
    <w:abstractNumId w:val="18"/>
  </w:num>
  <w:num w:numId="32">
    <w:abstractNumId w:val="17"/>
  </w:num>
  <w:num w:numId="33">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QyN7Q0tDQwMDE1sjBT0lEKTi0uzszPAymwrAUAQA+b8ywAAAA="/>
  </w:docVars>
  <w:rsids>
    <w:rsidRoot w:val="0016590F"/>
    <w:rsid w:val="00000037"/>
    <w:rsid w:val="000043DD"/>
    <w:rsid w:val="000101D5"/>
    <w:rsid w:val="00012B7D"/>
    <w:rsid w:val="000134B0"/>
    <w:rsid w:val="000165EE"/>
    <w:rsid w:val="000233A8"/>
    <w:rsid w:val="0002553C"/>
    <w:rsid w:val="00026C04"/>
    <w:rsid w:val="000272F9"/>
    <w:rsid w:val="000370D8"/>
    <w:rsid w:val="00042603"/>
    <w:rsid w:val="00046E2B"/>
    <w:rsid w:val="00047D47"/>
    <w:rsid w:val="00050FE9"/>
    <w:rsid w:val="00056BD5"/>
    <w:rsid w:val="000572AD"/>
    <w:rsid w:val="000632E2"/>
    <w:rsid w:val="00080B3C"/>
    <w:rsid w:val="00080BA5"/>
    <w:rsid w:val="000870FB"/>
    <w:rsid w:val="000904D4"/>
    <w:rsid w:val="0009497E"/>
    <w:rsid w:val="00095386"/>
    <w:rsid w:val="0009593E"/>
    <w:rsid w:val="00097EB3"/>
    <w:rsid w:val="000A112C"/>
    <w:rsid w:val="000A1C8F"/>
    <w:rsid w:val="000B37AC"/>
    <w:rsid w:val="000B38A7"/>
    <w:rsid w:val="000D3F05"/>
    <w:rsid w:val="000E33DC"/>
    <w:rsid w:val="000E733A"/>
    <w:rsid w:val="000F22ED"/>
    <w:rsid w:val="000F483A"/>
    <w:rsid w:val="000F4EA8"/>
    <w:rsid w:val="00107133"/>
    <w:rsid w:val="00112F75"/>
    <w:rsid w:val="001269CC"/>
    <w:rsid w:val="001277DE"/>
    <w:rsid w:val="00150C5D"/>
    <w:rsid w:val="001511CC"/>
    <w:rsid w:val="00153D4D"/>
    <w:rsid w:val="0016590F"/>
    <w:rsid w:val="0017605C"/>
    <w:rsid w:val="001A2FED"/>
    <w:rsid w:val="001A62E5"/>
    <w:rsid w:val="001B3A60"/>
    <w:rsid w:val="001B46F0"/>
    <w:rsid w:val="001B78B5"/>
    <w:rsid w:val="001D5D85"/>
    <w:rsid w:val="001D7A44"/>
    <w:rsid w:val="001F360C"/>
    <w:rsid w:val="001F382A"/>
    <w:rsid w:val="001F427B"/>
    <w:rsid w:val="00206D79"/>
    <w:rsid w:val="002123A6"/>
    <w:rsid w:val="00216DDE"/>
    <w:rsid w:val="002319D0"/>
    <w:rsid w:val="00231D20"/>
    <w:rsid w:val="002331DB"/>
    <w:rsid w:val="0023795D"/>
    <w:rsid w:val="0024268E"/>
    <w:rsid w:val="002530AA"/>
    <w:rsid w:val="00254787"/>
    <w:rsid w:val="00272F82"/>
    <w:rsid w:val="00273140"/>
    <w:rsid w:val="00276E67"/>
    <w:rsid w:val="00276E87"/>
    <w:rsid w:val="00280722"/>
    <w:rsid w:val="00294BAE"/>
    <w:rsid w:val="00296047"/>
    <w:rsid w:val="00296242"/>
    <w:rsid w:val="002B7703"/>
    <w:rsid w:val="002C3A3A"/>
    <w:rsid w:val="002C562F"/>
    <w:rsid w:val="002C760B"/>
    <w:rsid w:val="002D77A5"/>
    <w:rsid w:val="002E7E90"/>
    <w:rsid w:val="002F58C9"/>
    <w:rsid w:val="003028E9"/>
    <w:rsid w:val="00307F04"/>
    <w:rsid w:val="00314510"/>
    <w:rsid w:val="00317D69"/>
    <w:rsid w:val="00323F95"/>
    <w:rsid w:val="00332AAF"/>
    <w:rsid w:val="00333F23"/>
    <w:rsid w:val="003354B4"/>
    <w:rsid w:val="00340839"/>
    <w:rsid w:val="00361AEA"/>
    <w:rsid w:val="00367A25"/>
    <w:rsid w:val="00377094"/>
    <w:rsid w:val="00377C56"/>
    <w:rsid w:val="003803E4"/>
    <w:rsid w:val="003A4B95"/>
    <w:rsid w:val="003B268E"/>
    <w:rsid w:val="003B4A30"/>
    <w:rsid w:val="003C15AA"/>
    <w:rsid w:val="003D1345"/>
    <w:rsid w:val="003E1D02"/>
    <w:rsid w:val="003F57F0"/>
    <w:rsid w:val="00405990"/>
    <w:rsid w:val="004164F4"/>
    <w:rsid w:val="00417EA9"/>
    <w:rsid w:val="004232ED"/>
    <w:rsid w:val="004359F7"/>
    <w:rsid w:val="00453C02"/>
    <w:rsid w:val="004569D1"/>
    <w:rsid w:val="00456B8D"/>
    <w:rsid w:val="00460AA2"/>
    <w:rsid w:val="00460C2C"/>
    <w:rsid w:val="00463870"/>
    <w:rsid w:val="0046569D"/>
    <w:rsid w:val="00472653"/>
    <w:rsid w:val="004813A4"/>
    <w:rsid w:val="00484E7B"/>
    <w:rsid w:val="004916D2"/>
    <w:rsid w:val="004B110F"/>
    <w:rsid w:val="004B6C83"/>
    <w:rsid w:val="004C672B"/>
    <w:rsid w:val="004D07AB"/>
    <w:rsid w:val="004D1C3E"/>
    <w:rsid w:val="004D6361"/>
    <w:rsid w:val="004D6FF4"/>
    <w:rsid w:val="004F7E2E"/>
    <w:rsid w:val="00501222"/>
    <w:rsid w:val="00507ADC"/>
    <w:rsid w:val="00512C6B"/>
    <w:rsid w:val="00513AF4"/>
    <w:rsid w:val="00514183"/>
    <w:rsid w:val="00514E99"/>
    <w:rsid w:val="005175D0"/>
    <w:rsid w:val="005259FA"/>
    <w:rsid w:val="00527AB0"/>
    <w:rsid w:val="00534825"/>
    <w:rsid w:val="00542FF3"/>
    <w:rsid w:val="00563828"/>
    <w:rsid w:val="00580979"/>
    <w:rsid w:val="00581BE8"/>
    <w:rsid w:val="00587998"/>
    <w:rsid w:val="00594DEB"/>
    <w:rsid w:val="005A10DF"/>
    <w:rsid w:val="005B3B60"/>
    <w:rsid w:val="005C0FF0"/>
    <w:rsid w:val="005C456C"/>
    <w:rsid w:val="005C4B26"/>
    <w:rsid w:val="005E6DB7"/>
    <w:rsid w:val="005F12DC"/>
    <w:rsid w:val="00611667"/>
    <w:rsid w:val="00617926"/>
    <w:rsid w:val="006517F0"/>
    <w:rsid w:val="006547BE"/>
    <w:rsid w:val="00661BD3"/>
    <w:rsid w:val="00664157"/>
    <w:rsid w:val="00672893"/>
    <w:rsid w:val="00673757"/>
    <w:rsid w:val="00682692"/>
    <w:rsid w:val="00691C35"/>
    <w:rsid w:val="006C3356"/>
    <w:rsid w:val="006E48DB"/>
    <w:rsid w:val="006F1A27"/>
    <w:rsid w:val="007208E6"/>
    <w:rsid w:val="00762917"/>
    <w:rsid w:val="00780EA6"/>
    <w:rsid w:val="007A0149"/>
    <w:rsid w:val="007B6D5D"/>
    <w:rsid w:val="007C63C4"/>
    <w:rsid w:val="007E1942"/>
    <w:rsid w:val="007E2132"/>
    <w:rsid w:val="0080751C"/>
    <w:rsid w:val="00833D73"/>
    <w:rsid w:val="00834D61"/>
    <w:rsid w:val="00851729"/>
    <w:rsid w:val="0085478E"/>
    <w:rsid w:val="0085684A"/>
    <w:rsid w:val="00857B72"/>
    <w:rsid w:val="00861370"/>
    <w:rsid w:val="00864B20"/>
    <w:rsid w:val="00873831"/>
    <w:rsid w:val="0087614F"/>
    <w:rsid w:val="00877D8A"/>
    <w:rsid w:val="0088447A"/>
    <w:rsid w:val="008A5337"/>
    <w:rsid w:val="008B7F35"/>
    <w:rsid w:val="008C6DF2"/>
    <w:rsid w:val="008E41AF"/>
    <w:rsid w:val="008E517F"/>
    <w:rsid w:val="00900D44"/>
    <w:rsid w:val="00901CD7"/>
    <w:rsid w:val="009063A0"/>
    <w:rsid w:val="00920594"/>
    <w:rsid w:val="009232BC"/>
    <w:rsid w:val="0092349B"/>
    <w:rsid w:val="00926B92"/>
    <w:rsid w:val="009356E0"/>
    <w:rsid w:val="009370F1"/>
    <w:rsid w:val="00940738"/>
    <w:rsid w:val="009449FB"/>
    <w:rsid w:val="00945E09"/>
    <w:rsid w:val="009500FF"/>
    <w:rsid w:val="00952981"/>
    <w:rsid w:val="00957145"/>
    <w:rsid w:val="00967AB1"/>
    <w:rsid w:val="00981A00"/>
    <w:rsid w:val="0098215D"/>
    <w:rsid w:val="00987EC3"/>
    <w:rsid w:val="00991BEC"/>
    <w:rsid w:val="009A6B16"/>
    <w:rsid w:val="009C4B7A"/>
    <w:rsid w:val="009C5AC6"/>
    <w:rsid w:val="009D2016"/>
    <w:rsid w:val="009D7D64"/>
    <w:rsid w:val="009D7D7D"/>
    <w:rsid w:val="009E0484"/>
    <w:rsid w:val="00A03061"/>
    <w:rsid w:val="00A103C8"/>
    <w:rsid w:val="00A111CF"/>
    <w:rsid w:val="00A1628D"/>
    <w:rsid w:val="00A23F04"/>
    <w:rsid w:val="00A3452E"/>
    <w:rsid w:val="00A42D39"/>
    <w:rsid w:val="00A436EE"/>
    <w:rsid w:val="00A45D96"/>
    <w:rsid w:val="00A567F9"/>
    <w:rsid w:val="00A837D9"/>
    <w:rsid w:val="00AC3C8C"/>
    <w:rsid w:val="00AE2FA0"/>
    <w:rsid w:val="00AF3202"/>
    <w:rsid w:val="00B33E6D"/>
    <w:rsid w:val="00B43C82"/>
    <w:rsid w:val="00B50DB3"/>
    <w:rsid w:val="00B5703F"/>
    <w:rsid w:val="00B802FC"/>
    <w:rsid w:val="00B80A59"/>
    <w:rsid w:val="00B817EE"/>
    <w:rsid w:val="00B82CA7"/>
    <w:rsid w:val="00B84E47"/>
    <w:rsid w:val="00B8580A"/>
    <w:rsid w:val="00B92C65"/>
    <w:rsid w:val="00BA295A"/>
    <w:rsid w:val="00BA5CF3"/>
    <w:rsid w:val="00BB7D2E"/>
    <w:rsid w:val="00BF1FAE"/>
    <w:rsid w:val="00C02B7D"/>
    <w:rsid w:val="00C07EF9"/>
    <w:rsid w:val="00C10D29"/>
    <w:rsid w:val="00C20403"/>
    <w:rsid w:val="00C30614"/>
    <w:rsid w:val="00C41D3B"/>
    <w:rsid w:val="00C41F27"/>
    <w:rsid w:val="00C504C3"/>
    <w:rsid w:val="00C521BC"/>
    <w:rsid w:val="00C77AE1"/>
    <w:rsid w:val="00C86F66"/>
    <w:rsid w:val="00C92238"/>
    <w:rsid w:val="00CA6664"/>
    <w:rsid w:val="00CC2C6E"/>
    <w:rsid w:val="00CC5755"/>
    <w:rsid w:val="00CD3B5E"/>
    <w:rsid w:val="00CE2414"/>
    <w:rsid w:val="00D054BA"/>
    <w:rsid w:val="00D11E20"/>
    <w:rsid w:val="00D16558"/>
    <w:rsid w:val="00D205FE"/>
    <w:rsid w:val="00D30484"/>
    <w:rsid w:val="00D34F2C"/>
    <w:rsid w:val="00D406B3"/>
    <w:rsid w:val="00D42B52"/>
    <w:rsid w:val="00D45D03"/>
    <w:rsid w:val="00D57D1B"/>
    <w:rsid w:val="00D705C2"/>
    <w:rsid w:val="00D7153A"/>
    <w:rsid w:val="00D72775"/>
    <w:rsid w:val="00D8640C"/>
    <w:rsid w:val="00D96F33"/>
    <w:rsid w:val="00DA4936"/>
    <w:rsid w:val="00DA688F"/>
    <w:rsid w:val="00DB1B44"/>
    <w:rsid w:val="00DC4357"/>
    <w:rsid w:val="00DC71EE"/>
    <w:rsid w:val="00E02244"/>
    <w:rsid w:val="00E024C4"/>
    <w:rsid w:val="00E02E7F"/>
    <w:rsid w:val="00E043E9"/>
    <w:rsid w:val="00E339F6"/>
    <w:rsid w:val="00E35605"/>
    <w:rsid w:val="00E37AD7"/>
    <w:rsid w:val="00E5226B"/>
    <w:rsid w:val="00E61848"/>
    <w:rsid w:val="00E63D84"/>
    <w:rsid w:val="00E74ADB"/>
    <w:rsid w:val="00E853BE"/>
    <w:rsid w:val="00E85FB2"/>
    <w:rsid w:val="00E9121A"/>
    <w:rsid w:val="00EB4B1B"/>
    <w:rsid w:val="00EC7F14"/>
    <w:rsid w:val="00ED5C18"/>
    <w:rsid w:val="00ED7088"/>
    <w:rsid w:val="00EE702D"/>
    <w:rsid w:val="00EE76D2"/>
    <w:rsid w:val="00EF02D7"/>
    <w:rsid w:val="00EF37FB"/>
    <w:rsid w:val="00EF43CE"/>
    <w:rsid w:val="00F13192"/>
    <w:rsid w:val="00F139B3"/>
    <w:rsid w:val="00F156CF"/>
    <w:rsid w:val="00F23714"/>
    <w:rsid w:val="00F301E3"/>
    <w:rsid w:val="00F41F18"/>
    <w:rsid w:val="00F42289"/>
    <w:rsid w:val="00F45F02"/>
    <w:rsid w:val="00F473A3"/>
    <w:rsid w:val="00F5347A"/>
    <w:rsid w:val="00F554AA"/>
    <w:rsid w:val="00F730AD"/>
    <w:rsid w:val="00F944BE"/>
    <w:rsid w:val="00F9478A"/>
    <w:rsid w:val="00FA0311"/>
    <w:rsid w:val="00FA35D3"/>
    <w:rsid w:val="00FB08A6"/>
    <w:rsid w:val="00FD353B"/>
    <w:rsid w:val="00FE0249"/>
    <w:rsid w:val="00FE1C49"/>
    <w:rsid w:val="00FE2D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FDFDA74-CA6E-4801-AB8B-49154625F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0043DD"/>
    <w:rPr>
      <w:sz w:val="24"/>
      <w:szCs w:val="24"/>
    </w:rPr>
  </w:style>
  <w:style w:type="paragraph" w:styleId="Titolo1">
    <w:name w:val="heading 1"/>
    <w:basedOn w:val="Normale"/>
    <w:next w:val="Normale"/>
    <w:qFormat/>
    <w:rsid w:val="00EF7B96"/>
    <w:pPr>
      <w:keepNext/>
      <w:spacing w:before="240" w:beforeAutospacing="1" w:after="60" w:afterAutospacing="1" w:line="440" w:lineRule="atLeast"/>
      <w:outlineLvl w:val="0"/>
    </w:pPr>
    <w:rPr>
      <w:rFonts w:ascii="Trebuchet MS" w:eastAsia="Trebuchet MS" w:hAnsi="Trebuchet MS" w:cs="Trebuchet MS"/>
      <w:b/>
      <w:bCs/>
      <w:color w:val="000000"/>
      <w:kern w:val="32"/>
      <w:sz w:val="44"/>
      <w:szCs w:val="32"/>
    </w:rPr>
  </w:style>
  <w:style w:type="paragraph" w:styleId="Titolo2">
    <w:name w:val="heading 2"/>
    <w:basedOn w:val="Normale"/>
    <w:next w:val="Normale"/>
    <w:link w:val="Titolo2Carattere"/>
    <w:qFormat/>
    <w:rsid w:val="00EF7B96"/>
    <w:pPr>
      <w:keepNext/>
      <w:spacing w:before="240" w:beforeAutospacing="1" w:after="60" w:afterAutospacing="1" w:line="360" w:lineRule="atLeast"/>
      <w:outlineLvl w:val="1"/>
    </w:pPr>
    <w:rPr>
      <w:rFonts w:ascii="Trebuchet MS" w:eastAsia="Trebuchet MS" w:hAnsi="Trebuchet MS" w:cs="Trebuchet MS"/>
      <w:b/>
      <w:bCs/>
      <w:iCs/>
      <w:color w:val="000000"/>
      <w:sz w:val="36"/>
      <w:szCs w:val="28"/>
    </w:rPr>
  </w:style>
  <w:style w:type="paragraph" w:styleId="Titolo3">
    <w:name w:val="heading 3"/>
    <w:basedOn w:val="Normale"/>
    <w:next w:val="Normale"/>
    <w:qFormat/>
    <w:rsid w:val="00EF7B96"/>
    <w:pPr>
      <w:keepNext/>
      <w:spacing w:before="240" w:beforeAutospacing="1" w:after="60" w:afterAutospacing="1" w:line="280" w:lineRule="atLeast"/>
      <w:outlineLvl w:val="2"/>
    </w:pPr>
    <w:rPr>
      <w:rFonts w:ascii="Trebuchet MS" w:eastAsia="Trebuchet MS" w:hAnsi="Trebuchet MS" w:cs="Trebuchet MS"/>
      <w:b/>
      <w:bCs/>
      <w:color w:val="000000"/>
      <w:sz w:val="28"/>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geNumber">
    <w:name w:val="Page_Number"/>
    <w:rsid w:val="000043DD"/>
    <w:pPr>
      <w:spacing w:beforeAutospacing="1" w:afterAutospacing="1" w:line="200" w:lineRule="atLeast"/>
    </w:pPr>
    <w:rPr>
      <w:rFonts w:ascii="Trebuchet MS" w:eastAsia="Trebuchet MS" w:hAnsi="Trebuchet MS" w:cs="Trebuchet MS"/>
      <w:color w:val="727272"/>
    </w:rPr>
  </w:style>
  <w:style w:type="paragraph" w:customStyle="1" w:styleId="TableofContents">
    <w:name w:val="Table_of_Contents"/>
    <w:rsid w:val="000043DD"/>
    <w:pPr>
      <w:spacing w:beforeAutospacing="1" w:afterAutospacing="1" w:line="440" w:lineRule="atLeast"/>
    </w:pPr>
    <w:rPr>
      <w:rFonts w:ascii="Trebuchet MS" w:eastAsia="Trebuchet MS" w:hAnsi="Trebuchet MS" w:cs="Trebuchet MS"/>
      <w:b/>
      <w:color w:val="000000"/>
      <w:sz w:val="44"/>
    </w:rPr>
  </w:style>
  <w:style w:type="paragraph" w:customStyle="1" w:styleId="TableofContentsHeader">
    <w:name w:val="Table_of_Contents_Header"/>
    <w:rsid w:val="000043DD"/>
    <w:pPr>
      <w:spacing w:beforeAutospacing="1" w:afterAutospacing="1" w:line="240" w:lineRule="atLeast"/>
    </w:pPr>
    <w:rPr>
      <w:rFonts w:ascii="Trebuchet MS" w:eastAsia="Trebuchet MS" w:hAnsi="Trebuchet MS" w:cs="Trebuchet MS"/>
      <w:b/>
      <w:color w:val="727272"/>
      <w:sz w:val="24"/>
    </w:rPr>
  </w:style>
  <w:style w:type="paragraph" w:customStyle="1" w:styleId="TableofContentsFooter">
    <w:name w:val="Table_of_Contents_Footer"/>
    <w:rsid w:val="000043DD"/>
    <w:pPr>
      <w:spacing w:beforeAutospacing="1" w:afterAutospacing="1" w:line="200" w:lineRule="atLeast"/>
    </w:pPr>
    <w:rPr>
      <w:rFonts w:ascii="Trebuchet MS" w:eastAsia="Trebuchet MS" w:hAnsi="Trebuchet MS" w:cs="Trebuchet MS"/>
      <w:color w:val="727272"/>
    </w:rPr>
  </w:style>
  <w:style w:type="paragraph" w:styleId="Sommario1">
    <w:name w:val="toc 1"/>
    <w:basedOn w:val="Normale"/>
    <w:next w:val="Normale"/>
    <w:autoRedefine/>
    <w:uiPriority w:val="39"/>
    <w:rsid w:val="00664157"/>
    <w:pPr>
      <w:tabs>
        <w:tab w:val="right" w:leader="dot" w:pos="9350"/>
      </w:tabs>
      <w:spacing w:beforeAutospacing="1" w:afterAutospacing="1" w:line="240" w:lineRule="atLeast"/>
    </w:pPr>
    <w:rPr>
      <w:rFonts w:ascii="Franklin Gothic Demi" w:eastAsia="Palatino Linotype" w:hAnsi="Franklin Gothic Demi"/>
      <w:color w:val="00B0F0"/>
      <w:sz w:val="28"/>
      <w:szCs w:val="28"/>
    </w:rPr>
  </w:style>
  <w:style w:type="paragraph" w:styleId="Sommario2">
    <w:name w:val="toc 2"/>
    <w:basedOn w:val="Normale"/>
    <w:next w:val="Normale"/>
    <w:autoRedefine/>
    <w:uiPriority w:val="39"/>
    <w:rsid w:val="004916D2"/>
    <w:pPr>
      <w:tabs>
        <w:tab w:val="right" w:leader="dot" w:pos="9350"/>
      </w:tabs>
      <w:spacing w:beforeAutospacing="1" w:afterAutospacing="1" w:line="240" w:lineRule="atLeast"/>
      <w:ind w:left="720"/>
    </w:pPr>
    <w:rPr>
      <w:rFonts w:ascii="Palatino Linotype" w:eastAsia="Palatino Linotype" w:hAnsi="Palatino Linotype" w:cs="Palatino Linotype"/>
      <w:b/>
      <w:color w:val="393636"/>
    </w:rPr>
  </w:style>
  <w:style w:type="paragraph" w:styleId="Corpotesto">
    <w:name w:val="Body Text"/>
    <w:basedOn w:val="Normale"/>
    <w:rsid w:val="00805BCE"/>
    <w:pPr>
      <w:spacing w:beforeAutospacing="1" w:after="120" w:afterAutospacing="1" w:line="240" w:lineRule="atLeast"/>
    </w:pPr>
    <w:rPr>
      <w:rFonts w:ascii="Palatino Linotype" w:eastAsia="Palatino Linotype" w:hAnsi="Palatino Linotype" w:cs="Palatino Linotype"/>
      <w:color w:val="000000"/>
    </w:rPr>
  </w:style>
  <w:style w:type="paragraph" w:styleId="Intestazione">
    <w:name w:val="header"/>
    <w:basedOn w:val="Normale"/>
    <w:rsid w:val="00EF7B96"/>
    <w:pPr>
      <w:tabs>
        <w:tab w:val="center" w:pos="4677"/>
        <w:tab w:val="right" w:pos="9355"/>
      </w:tabs>
      <w:spacing w:beforeAutospacing="1" w:afterAutospacing="1" w:line="240" w:lineRule="atLeast"/>
    </w:pPr>
    <w:rPr>
      <w:rFonts w:ascii="Trebuchet MS" w:eastAsia="Trebuchet MS" w:hAnsi="Trebuchet MS" w:cs="Trebuchet MS"/>
      <w:color w:val="727272"/>
    </w:rPr>
  </w:style>
  <w:style w:type="paragraph" w:styleId="Titolosommario">
    <w:name w:val="TOC Heading"/>
    <w:basedOn w:val="Titolo1"/>
    <w:next w:val="Normale"/>
    <w:uiPriority w:val="39"/>
    <w:unhideWhenUsed/>
    <w:qFormat/>
    <w:rsid w:val="000200DD"/>
    <w:pPr>
      <w:spacing w:line="240" w:lineRule="atLeast"/>
      <w:outlineLvl w:val="9"/>
    </w:pPr>
    <w:rPr>
      <w:color w:val="727272"/>
      <w:sz w:val="24"/>
    </w:rPr>
  </w:style>
  <w:style w:type="paragraph" w:styleId="Pidipagina">
    <w:name w:val="footer"/>
    <w:basedOn w:val="Normale"/>
    <w:rsid w:val="00EF7B96"/>
    <w:pPr>
      <w:tabs>
        <w:tab w:val="center" w:pos="4677"/>
        <w:tab w:val="right" w:pos="9355"/>
      </w:tabs>
      <w:spacing w:beforeAutospacing="1" w:afterAutospacing="1" w:line="200" w:lineRule="atLeast"/>
    </w:pPr>
    <w:rPr>
      <w:rFonts w:ascii="Trebuchet MS" w:eastAsia="Trebuchet MS" w:hAnsi="Trebuchet MS" w:cs="Trebuchet MS"/>
      <w:color w:val="727272"/>
      <w:sz w:val="20"/>
    </w:rPr>
  </w:style>
  <w:style w:type="paragraph" w:customStyle="1" w:styleId="MilestonesTableHeader">
    <w:name w:val="MilestonesTable_Header"/>
    <w:rsid w:val="000043DD"/>
    <w:pPr>
      <w:spacing w:beforeAutospacing="1" w:afterAutospacing="1" w:line="200" w:lineRule="atLeast"/>
    </w:pPr>
    <w:rPr>
      <w:rFonts w:ascii="Trebuchet MS" w:eastAsia="Trebuchet MS" w:hAnsi="Trebuchet MS" w:cs="Trebuchet MS"/>
      <w:b/>
      <w:color w:val="000000"/>
    </w:rPr>
  </w:style>
  <w:style w:type="paragraph" w:customStyle="1" w:styleId="MilestonesTableItem">
    <w:name w:val="MilestonesTable_Item"/>
    <w:rsid w:val="000043DD"/>
    <w:pPr>
      <w:spacing w:beforeAutospacing="1" w:afterAutospacing="1" w:line="180" w:lineRule="atLeast"/>
    </w:pPr>
    <w:rPr>
      <w:rFonts w:ascii="Trebuchet MS" w:eastAsia="Trebuchet MS" w:hAnsi="Trebuchet MS" w:cs="Trebuchet MS"/>
      <w:color w:val="000000"/>
      <w:sz w:val="18"/>
    </w:rPr>
  </w:style>
  <w:style w:type="paragraph" w:customStyle="1" w:styleId="MilestonesTableFooter">
    <w:name w:val="MilestonesTable_Footer"/>
    <w:rsid w:val="000043DD"/>
    <w:pPr>
      <w:spacing w:beforeAutospacing="1" w:afterAutospacing="1" w:line="180" w:lineRule="atLeast"/>
    </w:pPr>
    <w:rPr>
      <w:rFonts w:ascii="Trebuchet MS" w:eastAsia="Trebuchet MS" w:hAnsi="Trebuchet MS" w:cs="Trebuchet MS"/>
      <w:color w:val="000000"/>
      <w:sz w:val="18"/>
    </w:rPr>
  </w:style>
  <w:style w:type="paragraph" w:customStyle="1" w:styleId="FinancialTableGroupLastItem">
    <w:name w:val="FinancialTable_GroupLastItem"/>
    <w:rsid w:val="000043DD"/>
    <w:pPr>
      <w:spacing w:beforeAutospacing="1" w:afterAutospacing="1" w:line="180" w:lineRule="atLeast"/>
    </w:pPr>
    <w:rPr>
      <w:rFonts w:ascii="Trebuchet MS" w:eastAsia="Trebuchet MS" w:hAnsi="Trebuchet MS" w:cs="Trebuchet MS"/>
      <w:color w:val="000000"/>
      <w:sz w:val="18"/>
    </w:rPr>
  </w:style>
  <w:style w:type="paragraph" w:customStyle="1" w:styleId="FinancialTableHeader">
    <w:name w:val="FinancialTable_Header"/>
    <w:rsid w:val="000043DD"/>
    <w:pPr>
      <w:spacing w:beforeAutospacing="1" w:afterAutospacing="1" w:line="200" w:lineRule="atLeast"/>
    </w:pPr>
    <w:rPr>
      <w:rFonts w:ascii="Trebuchet MS" w:eastAsia="Trebuchet MS" w:hAnsi="Trebuchet MS" w:cs="Trebuchet MS"/>
      <w:b/>
      <w:color w:val="000000"/>
    </w:rPr>
  </w:style>
  <w:style w:type="paragraph" w:customStyle="1" w:styleId="FinancialTableGroupItem">
    <w:name w:val="FinancialTable_GroupItem"/>
    <w:rsid w:val="000043DD"/>
    <w:pPr>
      <w:spacing w:beforeAutospacing="1" w:afterAutospacing="1" w:line="180" w:lineRule="atLeast"/>
    </w:pPr>
    <w:rPr>
      <w:rFonts w:ascii="Trebuchet MS" w:eastAsia="Trebuchet MS" w:hAnsi="Trebuchet MS" w:cs="Trebuchet MS"/>
      <w:color w:val="000000"/>
      <w:sz w:val="18"/>
    </w:rPr>
  </w:style>
  <w:style w:type="paragraph" w:customStyle="1" w:styleId="FinancialTableSpacer">
    <w:name w:val="FinancialTable_Spacer"/>
    <w:rsid w:val="000043DD"/>
  </w:style>
  <w:style w:type="paragraph" w:customStyle="1" w:styleId="FinancialTableItem">
    <w:name w:val="FinancialTable_Item"/>
    <w:rsid w:val="000043DD"/>
    <w:pPr>
      <w:spacing w:beforeAutospacing="1" w:afterAutospacing="1" w:line="180" w:lineRule="atLeast"/>
    </w:pPr>
    <w:rPr>
      <w:rFonts w:ascii="Trebuchet MS" w:eastAsia="Trebuchet MS" w:hAnsi="Trebuchet MS" w:cs="Trebuchet MS"/>
      <w:color w:val="000000"/>
      <w:sz w:val="18"/>
    </w:rPr>
  </w:style>
  <w:style w:type="paragraph" w:customStyle="1" w:styleId="FinancialTableGroupFooter">
    <w:name w:val="FinancialTable_GroupFooter"/>
    <w:rsid w:val="000043DD"/>
    <w:pPr>
      <w:spacing w:beforeAutospacing="1" w:afterAutospacing="1" w:line="200" w:lineRule="atLeast"/>
    </w:pPr>
    <w:rPr>
      <w:rFonts w:ascii="Trebuchet MS" w:eastAsia="Trebuchet MS" w:hAnsi="Trebuchet MS" w:cs="Trebuchet MS"/>
      <w:b/>
      <w:color w:val="000000"/>
    </w:rPr>
  </w:style>
  <w:style w:type="paragraph" w:customStyle="1" w:styleId="FinancialTableFooter">
    <w:name w:val="FinancialTable_Footer"/>
    <w:rsid w:val="000043DD"/>
    <w:pPr>
      <w:spacing w:beforeAutospacing="1" w:afterAutospacing="1" w:line="200" w:lineRule="atLeast"/>
    </w:pPr>
    <w:rPr>
      <w:rFonts w:ascii="Trebuchet MS" w:eastAsia="Trebuchet MS" w:hAnsi="Trebuchet MS" w:cs="Trebuchet MS"/>
      <w:b/>
      <w:color w:val="000000"/>
    </w:rPr>
  </w:style>
  <w:style w:type="paragraph" w:customStyle="1" w:styleId="FinancialTableGroupHeader">
    <w:name w:val="FinancialTable_GroupHeader"/>
    <w:rsid w:val="000043DD"/>
    <w:pPr>
      <w:spacing w:beforeAutospacing="1" w:afterAutospacing="1" w:line="200" w:lineRule="atLeast"/>
    </w:pPr>
    <w:rPr>
      <w:rFonts w:ascii="Trebuchet MS" w:eastAsia="Trebuchet MS" w:hAnsi="Trebuchet MS" w:cs="Trebuchet MS"/>
      <w:b/>
      <w:color w:val="000000"/>
    </w:rPr>
  </w:style>
  <w:style w:type="paragraph" w:customStyle="1" w:styleId="AppendixFinancialTableGroupLastItem">
    <w:name w:val="Appendix_FinancialTable_GroupLastItem"/>
    <w:rsid w:val="000043DD"/>
    <w:pPr>
      <w:spacing w:beforeAutospacing="1" w:afterAutospacing="1" w:line="120" w:lineRule="atLeast"/>
    </w:pPr>
    <w:rPr>
      <w:rFonts w:ascii="Trebuchet MS" w:eastAsia="Trebuchet MS" w:hAnsi="Trebuchet MS" w:cs="Trebuchet MS"/>
      <w:color w:val="000000"/>
      <w:sz w:val="12"/>
    </w:rPr>
  </w:style>
  <w:style w:type="paragraph" w:customStyle="1" w:styleId="AppendixFinancialTableHeader">
    <w:name w:val="Appendix_FinancialTable_Header"/>
    <w:rsid w:val="000043DD"/>
    <w:pPr>
      <w:spacing w:beforeAutospacing="1" w:afterAutospacing="1" w:line="140" w:lineRule="atLeast"/>
    </w:pPr>
    <w:rPr>
      <w:rFonts w:ascii="Trebuchet MS" w:eastAsia="Trebuchet MS" w:hAnsi="Trebuchet MS" w:cs="Trebuchet MS"/>
      <w:b/>
      <w:color w:val="000000"/>
      <w:sz w:val="14"/>
    </w:rPr>
  </w:style>
  <w:style w:type="paragraph" w:customStyle="1" w:styleId="AppendixFinancialTableGroupItem">
    <w:name w:val="Appendix_FinancialTable_GroupItem"/>
    <w:rsid w:val="000043DD"/>
    <w:pPr>
      <w:spacing w:beforeAutospacing="1" w:afterAutospacing="1" w:line="120" w:lineRule="atLeast"/>
    </w:pPr>
    <w:rPr>
      <w:rFonts w:ascii="Trebuchet MS" w:eastAsia="Trebuchet MS" w:hAnsi="Trebuchet MS" w:cs="Trebuchet MS"/>
      <w:color w:val="000000"/>
      <w:sz w:val="12"/>
    </w:rPr>
  </w:style>
  <w:style w:type="paragraph" w:customStyle="1" w:styleId="AppendixFinancialTableSpacer">
    <w:name w:val="Appendix_FinancialTable_Spacer"/>
    <w:rsid w:val="000043DD"/>
  </w:style>
  <w:style w:type="paragraph" w:customStyle="1" w:styleId="AppendixFinancialTableItem">
    <w:name w:val="Appendix_FinancialTable_Item"/>
    <w:rsid w:val="000043DD"/>
    <w:pPr>
      <w:spacing w:beforeAutospacing="1" w:afterAutospacing="1" w:line="120" w:lineRule="atLeast"/>
    </w:pPr>
    <w:rPr>
      <w:rFonts w:ascii="Trebuchet MS" w:eastAsia="Trebuchet MS" w:hAnsi="Trebuchet MS" w:cs="Trebuchet MS"/>
      <w:color w:val="000000"/>
      <w:sz w:val="12"/>
    </w:rPr>
  </w:style>
  <w:style w:type="paragraph" w:customStyle="1" w:styleId="AppendixFinancialTableGroupFooter">
    <w:name w:val="Appendix_FinancialTable_GroupFooter"/>
    <w:rsid w:val="000043DD"/>
    <w:pPr>
      <w:spacing w:beforeAutospacing="1" w:afterAutospacing="1" w:line="140" w:lineRule="atLeast"/>
    </w:pPr>
    <w:rPr>
      <w:rFonts w:ascii="Trebuchet MS" w:eastAsia="Trebuchet MS" w:hAnsi="Trebuchet MS" w:cs="Trebuchet MS"/>
      <w:b/>
      <w:color w:val="000000"/>
      <w:sz w:val="14"/>
    </w:rPr>
  </w:style>
  <w:style w:type="paragraph" w:customStyle="1" w:styleId="AppendixFinancialTableFooter">
    <w:name w:val="Appendix_FinancialTable_Footer"/>
    <w:rsid w:val="000043DD"/>
    <w:pPr>
      <w:spacing w:beforeAutospacing="1" w:afterAutospacing="1" w:line="140" w:lineRule="atLeast"/>
    </w:pPr>
    <w:rPr>
      <w:rFonts w:ascii="Trebuchet MS" w:eastAsia="Trebuchet MS" w:hAnsi="Trebuchet MS" w:cs="Trebuchet MS"/>
      <w:b/>
      <w:color w:val="000000"/>
      <w:sz w:val="14"/>
    </w:rPr>
  </w:style>
  <w:style w:type="paragraph" w:customStyle="1" w:styleId="AppendixFinancialTableGroupHeader">
    <w:name w:val="Appendix_FinancialTable_GroupHeader"/>
    <w:rsid w:val="000043DD"/>
    <w:pPr>
      <w:spacing w:beforeAutospacing="1" w:afterAutospacing="1" w:line="140" w:lineRule="atLeast"/>
    </w:pPr>
    <w:rPr>
      <w:rFonts w:ascii="Trebuchet MS" w:eastAsia="Trebuchet MS" w:hAnsi="Trebuchet MS" w:cs="Trebuchet MS"/>
      <w:b/>
      <w:color w:val="000000"/>
      <w:sz w:val="14"/>
    </w:rPr>
  </w:style>
  <w:style w:type="character" w:styleId="Collegamentoipertestuale">
    <w:name w:val="Hyperlink"/>
    <w:basedOn w:val="Carpredefinitoparagrafo"/>
    <w:uiPriority w:val="99"/>
    <w:rsid w:val="00EF7B96"/>
    <w:rPr>
      <w:color w:val="0000FF"/>
      <w:u w:val="single"/>
    </w:rPr>
  </w:style>
  <w:style w:type="character" w:styleId="Rimandocommento">
    <w:name w:val="annotation reference"/>
    <w:basedOn w:val="Carpredefinitoparagrafo"/>
    <w:uiPriority w:val="99"/>
    <w:semiHidden/>
    <w:unhideWhenUsed/>
    <w:rsid w:val="00594DEB"/>
    <w:rPr>
      <w:sz w:val="16"/>
      <w:szCs w:val="16"/>
    </w:rPr>
  </w:style>
  <w:style w:type="paragraph" w:styleId="Testocommento">
    <w:name w:val="annotation text"/>
    <w:basedOn w:val="Normale"/>
    <w:link w:val="TestocommentoCarattere"/>
    <w:uiPriority w:val="99"/>
    <w:semiHidden/>
    <w:unhideWhenUsed/>
    <w:rsid w:val="00594DEB"/>
    <w:pPr>
      <w:spacing w:after="160"/>
    </w:pPr>
    <w:rPr>
      <w:rFonts w:asciiTheme="minorHAnsi" w:eastAsiaTheme="minorHAnsi" w:hAnsiTheme="minorHAnsi" w:cstheme="minorBidi"/>
      <w:sz w:val="20"/>
      <w:szCs w:val="20"/>
      <w:lang w:val="en-US" w:eastAsia="en-US"/>
    </w:rPr>
  </w:style>
  <w:style w:type="character" w:customStyle="1" w:styleId="TestocommentoCarattere">
    <w:name w:val="Testo commento Carattere"/>
    <w:basedOn w:val="Carpredefinitoparagrafo"/>
    <w:link w:val="Testocommento"/>
    <w:uiPriority w:val="99"/>
    <w:semiHidden/>
    <w:rsid w:val="00594DEB"/>
    <w:rPr>
      <w:rFonts w:asciiTheme="minorHAnsi" w:eastAsiaTheme="minorHAnsi" w:hAnsiTheme="minorHAnsi" w:cstheme="minorBidi"/>
      <w:lang w:val="en-US" w:eastAsia="en-US"/>
    </w:rPr>
  </w:style>
  <w:style w:type="paragraph" w:styleId="Paragrafoelenco">
    <w:name w:val="List Paragraph"/>
    <w:basedOn w:val="Normale"/>
    <w:uiPriority w:val="34"/>
    <w:qFormat/>
    <w:rsid w:val="00594DEB"/>
    <w:pPr>
      <w:ind w:left="720"/>
      <w:contextualSpacing/>
    </w:pPr>
  </w:style>
  <w:style w:type="table" w:customStyle="1" w:styleId="Tabellagriglia4-colore51">
    <w:name w:val="Tabella griglia 4 - colore 51"/>
    <w:basedOn w:val="Tabellanormale"/>
    <w:uiPriority w:val="49"/>
    <w:rsid w:val="00594DE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estofumetto">
    <w:name w:val="Balloon Text"/>
    <w:basedOn w:val="Normale"/>
    <w:link w:val="TestofumettoCarattere"/>
    <w:rsid w:val="00926B92"/>
    <w:rPr>
      <w:rFonts w:ascii="Segoe UI" w:hAnsi="Segoe UI" w:cs="Segoe UI"/>
      <w:sz w:val="18"/>
      <w:szCs w:val="18"/>
    </w:rPr>
  </w:style>
  <w:style w:type="character" w:customStyle="1" w:styleId="TestofumettoCarattere">
    <w:name w:val="Testo fumetto Carattere"/>
    <w:basedOn w:val="Carpredefinitoparagrafo"/>
    <w:link w:val="Testofumetto"/>
    <w:rsid w:val="00926B92"/>
    <w:rPr>
      <w:rFonts w:ascii="Segoe UI" w:hAnsi="Segoe UI" w:cs="Segoe UI"/>
      <w:sz w:val="18"/>
      <w:szCs w:val="18"/>
    </w:rPr>
  </w:style>
  <w:style w:type="paragraph" w:styleId="Soggettocommento">
    <w:name w:val="annotation subject"/>
    <w:basedOn w:val="Testocommento"/>
    <w:next w:val="Testocommento"/>
    <w:link w:val="SoggettocommentoCarattere"/>
    <w:semiHidden/>
    <w:unhideWhenUsed/>
    <w:rsid w:val="004B6C83"/>
    <w:pPr>
      <w:spacing w:after="0"/>
    </w:pPr>
    <w:rPr>
      <w:rFonts w:ascii="Times New Roman" w:eastAsia="Times New Roman" w:hAnsi="Times New Roman" w:cs="Times New Roman"/>
      <w:b/>
      <w:bCs/>
      <w:lang w:val="it-IT" w:eastAsia="it-IT"/>
    </w:rPr>
  </w:style>
  <w:style w:type="character" w:customStyle="1" w:styleId="SoggettocommentoCarattere">
    <w:name w:val="Soggetto commento Carattere"/>
    <w:basedOn w:val="TestocommentoCarattere"/>
    <w:link w:val="Soggettocommento"/>
    <w:semiHidden/>
    <w:rsid w:val="004B6C83"/>
    <w:rPr>
      <w:rFonts w:asciiTheme="minorHAnsi" w:eastAsiaTheme="minorHAnsi" w:hAnsiTheme="minorHAnsi" w:cstheme="minorBidi"/>
      <w:b/>
      <w:bCs/>
      <w:lang w:val="en-US" w:eastAsia="en-US"/>
    </w:rPr>
  </w:style>
  <w:style w:type="table" w:styleId="Grigliatabella">
    <w:name w:val="Table Grid"/>
    <w:basedOn w:val="Tabellanormale"/>
    <w:rsid w:val="0040599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essunaspaziatura">
    <w:name w:val="No Spacing"/>
    <w:uiPriority w:val="1"/>
    <w:qFormat/>
    <w:rsid w:val="00EF37FB"/>
    <w:rPr>
      <w:sz w:val="24"/>
      <w:szCs w:val="24"/>
    </w:rPr>
  </w:style>
  <w:style w:type="character" w:styleId="Enfasicorsivo">
    <w:name w:val="Emphasis"/>
    <w:basedOn w:val="Carpredefinitoparagrafo"/>
    <w:qFormat/>
    <w:rsid w:val="00296242"/>
    <w:rPr>
      <w:i/>
      <w:iCs/>
    </w:rPr>
  </w:style>
  <w:style w:type="table" w:styleId="Tabellagriglia4-colore5">
    <w:name w:val="Grid Table 4 Accent 5"/>
    <w:basedOn w:val="Tabellanormale"/>
    <w:uiPriority w:val="49"/>
    <w:rsid w:val="00C521B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itolo2Carattere">
    <w:name w:val="Titolo 2 Carattere"/>
    <w:basedOn w:val="Carpredefinitoparagrafo"/>
    <w:link w:val="Titolo2"/>
    <w:rsid w:val="003C15AA"/>
    <w:rPr>
      <w:rFonts w:ascii="Trebuchet MS" w:eastAsia="Trebuchet MS" w:hAnsi="Trebuchet MS" w:cs="Trebuchet MS"/>
      <w:b/>
      <w:bCs/>
      <w:iCs/>
      <w:color w:val="000000"/>
      <w:sz w:val="3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0450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image" Target="media/image15.png"/><Relationship Id="rId39" Type="http://schemas.microsoft.com/office/2007/relationships/hdphoto" Target="media/hdphoto2.wdp"/><Relationship Id="rId3" Type="http://schemas.openxmlformats.org/officeDocument/2006/relationships/styles" Target="styles.xml"/><Relationship Id="rId21" Type="http://schemas.openxmlformats.org/officeDocument/2006/relationships/hyperlink" Target="mailto:admin@cryptoforinvest.com" TargetMode="External"/><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header" Target="header3.xm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openzeppelin.org/"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cfx.com" TargetMode="External"/><Relationship Id="rId29" Type="http://schemas.openxmlformats.org/officeDocument/2006/relationships/hyperlink" Target="http://www.hl.co.uk/funds/research-and-news/fund-sectors/europe" TargetMode="Externa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2.jpeg"/><Relationship Id="rId28" Type="http://schemas.openxmlformats.org/officeDocument/2006/relationships/image" Target="media/image17.png"/><Relationship Id="rId36" Type="http://schemas.microsoft.com/office/2007/relationships/hdphoto" Target="media/hdphoto1.wdp"/><Relationship Id="rId49" Type="http://schemas.openxmlformats.org/officeDocument/2006/relationships/header" Target="header4.xml"/><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image" Target="media/image19.png"/><Relationship Id="rId44" Type="http://schemas.openxmlformats.org/officeDocument/2006/relationships/header" Target="header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chart" Target="charts/chart1.xm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0.png"/></Relationships>
</file>

<file path=word/_rels/footer4.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2000" b="0">
                <a:solidFill>
                  <a:srgbClr val="00B0F0"/>
                </a:solidFill>
                <a:latin typeface="Franklin Gothic Demi" panose="020B0703020102020204" pitchFamily="34" charset="0"/>
              </a:rPr>
              <a:t>Funds Allocation by</a:t>
            </a:r>
            <a:r>
              <a:rPr lang="en-US" sz="2000" b="0" baseline="0">
                <a:solidFill>
                  <a:srgbClr val="00B0F0"/>
                </a:solidFill>
                <a:latin typeface="Franklin Gothic Demi" panose="020B0703020102020204" pitchFamily="34" charset="0"/>
              </a:rPr>
              <a:t> </a:t>
            </a:r>
            <a:r>
              <a:rPr lang="en-US" sz="2000" b="0">
                <a:solidFill>
                  <a:srgbClr val="00B0F0"/>
                </a:solidFill>
                <a:latin typeface="Franklin Gothic Demi" panose="020B0703020102020204" pitchFamily="34" charset="0"/>
              </a:rPr>
              <a:t>Percent</a:t>
            </a:r>
          </a:p>
        </c:rich>
      </c:tx>
      <c:layout>
        <c:manualLayout>
          <c:xMode val="edge"/>
          <c:yMode val="edge"/>
          <c:x val="0.23679938831530256"/>
          <c:y val="5.6687192947035468E-2"/>
        </c:manualLayout>
      </c:layout>
      <c:overlay val="0"/>
    </c:title>
    <c:autoTitleDeleted val="0"/>
    <c:view3D>
      <c:rotX val="30"/>
      <c:rotY val="213"/>
      <c:rAngAx val="0"/>
    </c:view3D>
    <c:floor>
      <c:thickness val="0"/>
    </c:floor>
    <c:sideWall>
      <c:thickness val="0"/>
    </c:sideWall>
    <c:backWall>
      <c:thickness val="0"/>
    </c:backWall>
    <c:plotArea>
      <c:layout>
        <c:manualLayout>
          <c:layoutTarget val="inner"/>
          <c:xMode val="edge"/>
          <c:yMode val="edge"/>
          <c:x val="0"/>
          <c:y val="1.1370213338717276E-3"/>
          <c:w val="1"/>
          <c:h val="0.92458372703412073"/>
        </c:manualLayout>
      </c:layout>
      <c:pie3DChart>
        <c:varyColors val="1"/>
        <c:ser>
          <c:idx val="0"/>
          <c:order val="0"/>
          <c:tx>
            <c:strRef>
              <c:f>Sheet1!$B$1</c:f>
              <c:strCache>
                <c:ptCount val="1"/>
                <c:pt idx="0">
                  <c:v>Percent (%)</c:v>
                </c:pt>
              </c:strCache>
            </c:strRef>
          </c:tx>
          <c:spPr>
            <a:effectLst>
              <a:outerShdw blurRad="76200" dir="13500000" sy="23000" kx="1200000" algn="br" rotWithShape="0">
                <a:prstClr val="black">
                  <a:alpha val="20000"/>
                </a:prstClr>
              </a:outerShdw>
            </a:effectLst>
            <a:scene3d>
              <a:camera prst="orthographicFront"/>
              <a:lightRig rig="threePt" dir="t"/>
            </a:scene3d>
            <a:sp3d>
              <a:bevelT w="222250" h="190500"/>
              <a:bevelB w="273050" h="330200"/>
            </a:sp3d>
          </c:spPr>
          <c:explosion val="8"/>
          <c:dPt>
            <c:idx val="0"/>
            <c:bubble3D val="0"/>
            <c:spPr>
              <a:solidFill>
                <a:srgbClr val="00B0F0"/>
              </a:solidFill>
              <a:effectLst>
                <a:outerShdw blurRad="76200" dir="13500000" sy="23000" kx="1200000" algn="br" rotWithShape="0">
                  <a:prstClr val="black">
                    <a:alpha val="20000"/>
                  </a:prstClr>
                </a:outerShdw>
              </a:effectLst>
              <a:scene3d>
                <a:camera prst="orthographicFront"/>
                <a:lightRig rig="threePt" dir="t"/>
              </a:scene3d>
              <a:sp3d>
                <a:bevelT w="222250" h="190500"/>
                <a:bevelB w="273050" h="330200"/>
              </a:sp3d>
            </c:spPr>
            <c:extLst>
              <c:ext xmlns:c16="http://schemas.microsoft.com/office/drawing/2014/chart" uri="{C3380CC4-5D6E-409C-BE32-E72D297353CC}">
                <c16:uniqueId val="{00000001-A03D-4332-BFD7-383A11AD9618}"/>
              </c:ext>
            </c:extLst>
          </c:dPt>
          <c:dPt>
            <c:idx val="1"/>
            <c:bubble3D val="0"/>
            <c:spPr>
              <a:solidFill>
                <a:srgbClr val="7030A0"/>
              </a:solidFill>
              <a:effectLst>
                <a:outerShdw blurRad="76200" dir="13500000" sy="23000" kx="1200000" algn="br" rotWithShape="0">
                  <a:prstClr val="black">
                    <a:alpha val="20000"/>
                  </a:prstClr>
                </a:outerShdw>
              </a:effectLst>
              <a:scene3d>
                <a:camera prst="orthographicFront"/>
                <a:lightRig rig="threePt" dir="t"/>
              </a:scene3d>
              <a:sp3d>
                <a:bevelT w="222250" h="190500"/>
                <a:bevelB w="273050" h="330200"/>
              </a:sp3d>
            </c:spPr>
            <c:extLst>
              <c:ext xmlns:c16="http://schemas.microsoft.com/office/drawing/2014/chart" uri="{C3380CC4-5D6E-409C-BE32-E72D297353CC}">
                <c16:uniqueId val="{00000003-A03D-4332-BFD7-383A11AD9618}"/>
              </c:ext>
            </c:extLst>
          </c:dPt>
          <c:dPt>
            <c:idx val="2"/>
            <c:bubble3D val="0"/>
            <c:spPr>
              <a:solidFill>
                <a:srgbClr val="0070C0"/>
              </a:solidFill>
              <a:effectLst>
                <a:outerShdw blurRad="76200" dir="13500000" sy="23000" kx="1200000" algn="br" rotWithShape="0">
                  <a:prstClr val="black">
                    <a:alpha val="20000"/>
                  </a:prstClr>
                </a:outerShdw>
              </a:effectLst>
              <a:scene3d>
                <a:camera prst="orthographicFront"/>
                <a:lightRig rig="threePt" dir="t"/>
              </a:scene3d>
              <a:sp3d>
                <a:bevelT w="222250" h="190500"/>
                <a:bevelB w="273050" h="330200"/>
              </a:sp3d>
            </c:spPr>
            <c:extLst>
              <c:ext xmlns:c16="http://schemas.microsoft.com/office/drawing/2014/chart" uri="{C3380CC4-5D6E-409C-BE32-E72D297353CC}">
                <c16:uniqueId val="{00000005-A03D-4332-BFD7-383A11AD9618}"/>
              </c:ext>
            </c:extLst>
          </c:dPt>
          <c:dPt>
            <c:idx val="3"/>
            <c:bubble3D val="0"/>
            <c:spPr>
              <a:solidFill>
                <a:srgbClr val="92D050"/>
              </a:solidFill>
              <a:effectLst>
                <a:outerShdw blurRad="76200" dir="13500000" sy="23000" kx="1200000" algn="br" rotWithShape="0">
                  <a:prstClr val="black">
                    <a:alpha val="20000"/>
                  </a:prstClr>
                </a:outerShdw>
              </a:effectLst>
              <a:scene3d>
                <a:camera prst="orthographicFront"/>
                <a:lightRig rig="threePt" dir="t"/>
              </a:scene3d>
              <a:sp3d>
                <a:bevelT w="222250" h="190500"/>
                <a:bevelB w="273050" h="330200"/>
              </a:sp3d>
            </c:spPr>
            <c:extLst>
              <c:ext xmlns:c16="http://schemas.microsoft.com/office/drawing/2014/chart" uri="{C3380CC4-5D6E-409C-BE32-E72D297353CC}">
                <c16:uniqueId val="{00000007-A03D-4332-BFD7-383A11AD9618}"/>
              </c:ext>
            </c:extLst>
          </c:dPt>
          <c:dPt>
            <c:idx val="4"/>
            <c:bubble3D val="0"/>
            <c:spPr>
              <a:solidFill>
                <a:schemeClr val="tx2">
                  <a:lumMod val="75000"/>
                </a:schemeClr>
              </a:solidFill>
              <a:effectLst>
                <a:outerShdw blurRad="76200" dir="13500000" sy="23000" kx="1200000" algn="br" rotWithShape="0">
                  <a:prstClr val="black">
                    <a:alpha val="20000"/>
                  </a:prstClr>
                </a:outerShdw>
              </a:effectLst>
              <a:scene3d>
                <a:camera prst="orthographicFront"/>
                <a:lightRig rig="threePt" dir="t"/>
              </a:scene3d>
              <a:sp3d>
                <a:bevelT w="222250" h="190500"/>
                <a:bevelB w="273050" h="330200"/>
              </a:sp3d>
            </c:spPr>
            <c:extLst>
              <c:ext xmlns:c16="http://schemas.microsoft.com/office/drawing/2014/chart" uri="{C3380CC4-5D6E-409C-BE32-E72D297353CC}">
                <c16:uniqueId val="{00000009-A03D-4332-BFD7-383A11AD9618}"/>
              </c:ext>
            </c:extLst>
          </c:dPt>
          <c:dPt>
            <c:idx val="5"/>
            <c:bubble3D val="0"/>
            <c:spPr>
              <a:solidFill>
                <a:schemeClr val="accent6">
                  <a:lumMod val="75000"/>
                </a:schemeClr>
              </a:solidFill>
              <a:effectLst>
                <a:outerShdw blurRad="76200" dir="13500000" sy="23000" kx="1200000" algn="br" rotWithShape="0">
                  <a:prstClr val="black">
                    <a:alpha val="20000"/>
                  </a:prstClr>
                </a:outerShdw>
              </a:effectLst>
              <a:scene3d>
                <a:camera prst="orthographicFront"/>
                <a:lightRig rig="threePt" dir="t"/>
              </a:scene3d>
              <a:sp3d>
                <a:bevelT w="222250" h="190500"/>
                <a:bevelB w="273050" h="330200"/>
              </a:sp3d>
            </c:spPr>
            <c:extLst>
              <c:ext xmlns:c16="http://schemas.microsoft.com/office/drawing/2014/chart" uri="{C3380CC4-5D6E-409C-BE32-E72D297353CC}">
                <c16:uniqueId val="{0000000B-A03D-4332-BFD7-383A11AD9618}"/>
              </c:ext>
            </c:extLst>
          </c:dPt>
          <c:dLbls>
            <c:dLbl>
              <c:idx val="2"/>
              <c:layout>
                <c:manualLayout>
                  <c:x val="2.6903203746093861E-2"/>
                  <c:y val="3.386482939632545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03D-4332-BFD7-383A11AD9618}"/>
                </c:ext>
              </c:extLst>
            </c:dLbl>
            <c:dLbl>
              <c:idx val="3"/>
              <c:layout>
                <c:manualLayout>
                  <c:x val="-2.4077644697307891E-2"/>
                  <c:y val="3.3674035937815462E-2"/>
                </c:manualLayout>
              </c:layout>
              <c:tx>
                <c:rich>
                  <a:bodyPr/>
                  <a:lstStyle/>
                  <a:p>
                    <a:fld id="{E1C618E0-10E8-4C49-B9A6-3EE6922A2E6F}" type="CATEGORYNAME">
                      <a:rPr lang="en-US" sz="1300"/>
                      <a:pPr/>
                      <a:t>[NOME CATEGORIA]</a:t>
                    </a:fld>
                    <a:r>
                      <a:rPr lang="en-US" baseline="0"/>
                      <a:t>
</a:t>
                    </a:r>
                    <a:fld id="{E3C21926-E2A8-4D0D-8063-F8F4CC1C8870}" type="PERCENTAGE">
                      <a:rPr lang="en-US" baseline="0"/>
                      <a:pPr/>
                      <a:t>[PERCENTUALE]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03D-4332-BFD7-383A11AD9618}"/>
                </c:ext>
              </c:extLst>
            </c:dLbl>
            <c:dLbl>
              <c:idx val="4"/>
              <c:tx>
                <c:rich>
                  <a:bodyPr/>
                  <a:lstStyle/>
                  <a:p>
                    <a:fld id="{6D2956EE-F9FB-4F6D-B56C-654A9FB2C4AB}" type="CATEGORYNAME">
                      <a:rPr lang="en-US" sz="1300"/>
                      <a:pPr/>
                      <a:t>[NOME CATEGORIA]</a:t>
                    </a:fld>
                    <a:r>
                      <a:rPr lang="en-US" baseline="0"/>
                      <a:t>
</a:t>
                    </a:r>
                    <a:fld id="{0020B9B4-2750-4238-8EFD-A32049D6C623}" type="PERCENTAGE">
                      <a:rPr lang="en-US" baseline="0"/>
                      <a:pPr/>
                      <a:t>[PERCENTUALE]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03D-4332-BFD7-383A11AD9618}"/>
                </c:ext>
              </c:extLst>
            </c:dLbl>
            <c:dLbl>
              <c:idx val="5"/>
              <c:layout>
                <c:manualLayout>
                  <c:x val="-1.4927940249929574E-2"/>
                  <c:y val="3.6843074904098529E-2"/>
                </c:manualLayout>
              </c:layout>
              <c:tx>
                <c:rich>
                  <a:bodyPr wrap="square" lIns="38100" tIns="19050" rIns="38100" bIns="19050" anchor="ctr">
                    <a:noAutofit/>
                  </a:bodyPr>
                  <a:lstStyle/>
                  <a:p>
                    <a:pPr>
                      <a:defRPr sz="1300" b="1"/>
                    </a:pPr>
                    <a:fld id="{E5926DD4-1634-475B-BCD7-842D7F7B3297}" type="CATEGORYNAME">
                      <a:rPr lang="en-US" sz="1300"/>
                      <a:pPr>
                        <a:defRPr sz="1300" b="1"/>
                      </a:pPr>
                      <a:t>[NOME CATEGORIA]</a:t>
                    </a:fld>
                    <a:r>
                      <a:rPr lang="en-US" baseline="0"/>
                      <a:t>
</a:t>
                    </a:r>
                    <a:fld id="{92AF6DAB-5156-4992-8903-90C8A97E3B4D}" type="PERCENTAGE">
                      <a:rPr lang="en-US" baseline="0"/>
                      <a:pPr>
                        <a:defRPr sz="1300" b="1"/>
                      </a:pPr>
                      <a:t>[PERCENTUALE]</a:t>
                    </a:fld>
                    <a:endParaRPr lang="en-US" baseline="0"/>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13899487179487177"/>
                      <c:h val="0.15408700471044612"/>
                    </c:manualLayout>
                  </c15:layout>
                  <c15:dlblFieldTable/>
                  <c15:showDataLabelsRange val="0"/>
                </c:ext>
                <c:ext xmlns:c16="http://schemas.microsoft.com/office/drawing/2014/chart" uri="{C3380CC4-5D6E-409C-BE32-E72D297353CC}">
                  <c16:uniqueId val="{0000000B-A03D-4332-BFD7-383A11AD9618}"/>
                </c:ext>
              </c:extLst>
            </c:dLbl>
            <c:spPr>
              <a:noFill/>
              <a:ln>
                <a:noFill/>
              </a:ln>
              <a:effectLst/>
            </c:spPr>
            <c:txPr>
              <a:bodyPr wrap="square" lIns="38100" tIns="19050" rIns="38100" bIns="19050" anchor="ctr">
                <a:spAutoFit/>
              </a:bodyPr>
              <a:lstStyle/>
              <a:p>
                <a:pPr>
                  <a:defRPr sz="1300" b="1"/>
                </a:pPr>
                <a:endParaRPr lang="it-I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Internal Fund</c:v>
                </c:pt>
                <c:pt idx="1">
                  <c:v>Marketing expenses</c:v>
                </c:pt>
                <c:pt idx="2">
                  <c:v>HATS improvement and updates</c:v>
                </c:pt>
                <c:pt idx="3">
                  <c:v>Sentiment Index</c:v>
                </c:pt>
                <c:pt idx="4">
                  <c:v>Expenses General</c:v>
                </c:pt>
                <c:pt idx="5">
                  <c:v>Various not forecasted</c:v>
                </c:pt>
              </c:strCache>
            </c:strRef>
          </c:cat>
          <c:val>
            <c:numRef>
              <c:f>Sheet1!$B$2:$B$7</c:f>
              <c:numCache>
                <c:formatCode>General</c:formatCode>
                <c:ptCount val="6"/>
                <c:pt idx="0">
                  <c:v>70</c:v>
                </c:pt>
                <c:pt idx="1">
                  <c:v>10</c:v>
                </c:pt>
                <c:pt idx="2">
                  <c:v>5</c:v>
                </c:pt>
                <c:pt idx="3">
                  <c:v>8</c:v>
                </c:pt>
                <c:pt idx="4">
                  <c:v>5</c:v>
                </c:pt>
                <c:pt idx="5">
                  <c:v>2</c:v>
                </c:pt>
              </c:numCache>
            </c:numRef>
          </c:val>
          <c:extLst>
            <c:ext xmlns:c16="http://schemas.microsoft.com/office/drawing/2014/chart" uri="{C3380CC4-5D6E-409C-BE32-E72D297353CC}">
              <c16:uniqueId val="{0000000C-A03D-4332-BFD7-383A11AD9618}"/>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7DD3D-4065-4B67-9C5D-6E22DFD8E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12513</Words>
  <Characters>71326</Characters>
  <Application>Microsoft Office Word</Application>
  <DocSecurity>0</DocSecurity>
  <Lines>594</Lines>
  <Paragraphs>167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jay</dc:creator>
  <cp:lastModifiedBy>Marco Mottana</cp:lastModifiedBy>
  <cp:revision>2</cp:revision>
  <dcterms:created xsi:type="dcterms:W3CDTF">2018-08-31T12:34:00Z</dcterms:created>
  <dcterms:modified xsi:type="dcterms:W3CDTF">2018-08-31T12:34:00Z</dcterms:modified>
</cp:coreProperties>
</file>