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3E31" w:rsidRPr="008131E9" w:rsidRDefault="00EF3E31" w:rsidP="008131E9">
      <w:pPr>
        <w:pBdr>
          <w:top w:val="thinThickLargeGap" w:sz="24" w:space="1" w:color="auto"/>
          <w:left w:val="thinThickLargeGap" w:sz="24" w:space="4" w:color="auto"/>
          <w:bottom w:val="thickThinLargeGap" w:sz="24" w:space="1" w:color="auto"/>
          <w:right w:val="thickThinLargeGap" w:sz="24" w:space="4" w:color="auto"/>
        </w:pBdr>
        <w:shd w:val="clear" w:color="auto" w:fill="92D050"/>
        <w:jc w:val="center"/>
        <w:rPr>
          <w:b/>
          <w:color w:val="002060"/>
          <w:sz w:val="44"/>
          <w:szCs w:val="44"/>
        </w:rPr>
      </w:pPr>
      <w:r w:rsidRPr="008131E9">
        <w:rPr>
          <w:b/>
          <w:color w:val="002060"/>
          <w:sz w:val="44"/>
          <w:szCs w:val="44"/>
        </w:rPr>
        <w:t>“</w:t>
      </w:r>
      <w:r w:rsidR="0001793A" w:rsidRPr="008131E9">
        <w:rPr>
          <w:b/>
          <w:color w:val="002060"/>
          <w:sz w:val="44"/>
          <w:szCs w:val="44"/>
        </w:rPr>
        <w:t>THE BIGGER MIND M</w:t>
      </w:r>
      <w:r w:rsidR="00B02BA7">
        <w:rPr>
          <w:b/>
          <w:color w:val="002060"/>
          <w:sz w:val="44"/>
          <w:szCs w:val="44"/>
        </w:rPr>
        <w:t>ODEL</w:t>
      </w:r>
      <w:r w:rsidRPr="008131E9">
        <w:rPr>
          <w:b/>
          <w:color w:val="002060"/>
          <w:sz w:val="44"/>
          <w:szCs w:val="44"/>
        </w:rPr>
        <w:t>”</w:t>
      </w:r>
    </w:p>
    <w:p w:rsidR="008131E9" w:rsidRDefault="008131E9" w:rsidP="0001793A">
      <w:pPr>
        <w:jc w:val="center"/>
        <w:rPr>
          <w:b/>
          <w:sz w:val="32"/>
          <w:szCs w:val="32"/>
        </w:rPr>
      </w:pPr>
    </w:p>
    <w:p w:rsidR="008131E9" w:rsidRPr="008131E9" w:rsidRDefault="008131E9" w:rsidP="008131E9">
      <w:pPr>
        <w:pBdr>
          <w:top w:val="single" w:sz="4" w:space="1" w:color="auto"/>
          <w:left w:val="single" w:sz="4" w:space="4" w:color="auto"/>
          <w:bottom w:val="single" w:sz="4" w:space="1" w:color="auto"/>
          <w:right w:val="single" w:sz="4" w:space="4" w:color="auto"/>
        </w:pBdr>
        <w:shd w:val="clear" w:color="auto" w:fill="B4C6E7" w:themeFill="accent1" w:themeFillTint="66"/>
        <w:jc w:val="both"/>
        <w:rPr>
          <w:b/>
          <w:color w:val="002060"/>
          <w:sz w:val="32"/>
          <w:szCs w:val="32"/>
        </w:rPr>
      </w:pPr>
      <w:r w:rsidRPr="008131E9">
        <w:rPr>
          <w:b/>
          <w:color w:val="002060"/>
          <w:sz w:val="32"/>
          <w:szCs w:val="32"/>
        </w:rPr>
        <w:t>OUR BRIEF:</w:t>
      </w:r>
    </w:p>
    <w:p w:rsidR="0001793A" w:rsidRDefault="008131E9" w:rsidP="0001793A">
      <w:pPr>
        <w:jc w:val="both"/>
      </w:pPr>
      <w:r>
        <w:t>In SARGIA Partners, we</w:t>
      </w:r>
      <w:r w:rsidR="0001793A">
        <w:t xml:space="preserve"> want to consolidate all our Leadership Programs, into </w:t>
      </w:r>
      <w:r>
        <w:t>one</w:t>
      </w:r>
      <w:r w:rsidR="0001793A">
        <w:t xml:space="preserve"> </w:t>
      </w:r>
      <w:r w:rsidR="00B02BA7">
        <w:t>Model</w:t>
      </w:r>
      <w:r w:rsidR="0001793A">
        <w:t xml:space="preserve">, </w:t>
      </w:r>
      <w:r w:rsidR="0001793A" w:rsidRPr="0001793A">
        <w:rPr>
          <w:b/>
        </w:rPr>
        <w:t xml:space="preserve">THE BIGGER MIND </w:t>
      </w:r>
      <w:r w:rsidR="00B02BA7">
        <w:rPr>
          <w:b/>
        </w:rPr>
        <w:t>MODEL</w:t>
      </w:r>
      <w:r w:rsidR="0001793A">
        <w:t xml:space="preserve">, with the aim to provide to our customers the option to introduce the whole spectrum of our services to their organizations, as this will provide a true </w:t>
      </w:r>
      <w:r w:rsidR="0001793A" w:rsidRPr="0001793A">
        <w:rPr>
          <w:b/>
        </w:rPr>
        <w:t>Transformation</w:t>
      </w:r>
      <w:r w:rsidR="0001793A">
        <w:t xml:space="preserve"> and lead to a sustainable </w:t>
      </w:r>
      <w:r w:rsidR="0001793A" w:rsidRPr="0001793A">
        <w:rPr>
          <w:b/>
        </w:rPr>
        <w:t>Bigger Mind Culture</w:t>
      </w:r>
      <w:r w:rsidR="0001793A">
        <w:t xml:space="preserve">! </w:t>
      </w:r>
    </w:p>
    <w:p w:rsidR="00014B33" w:rsidRDefault="0087194C" w:rsidP="0001793A">
      <w:pPr>
        <w:jc w:val="both"/>
      </w:pPr>
      <w:r>
        <w:t xml:space="preserve">The Bigger Mind </w:t>
      </w:r>
      <w:r w:rsidR="00B02BA7">
        <w:t>Model</w:t>
      </w:r>
      <w:r>
        <w:t xml:space="preserve"> starts with</w:t>
      </w:r>
      <w:r w:rsidR="00014B33">
        <w:t xml:space="preserve"> a </w:t>
      </w:r>
      <w:r w:rsidR="00014B33" w:rsidRPr="00014B33">
        <w:rPr>
          <w:b/>
        </w:rPr>
        <w:t>Culture</w:t>
      </w:r>
      <w:r w:rsidRPr="00014B33">
        <w:rPr>
          <w:b/>
        </w:rPr>
        <w:t xml:space="preserve"> </w:t>
      </w:r>
      <w:r w:rsidR="00014B33" w:rsidRPr="00014B33">
        <w:rPr>
          <w:b/>
        </w:rPr>
        <w:t>Assessment</w:t>
      </w:r>
      <w:r w:rsidR="00014B33">
        <w:t xml:space="preserve"> </w:t>
      </w:r>
      <w:proofErr w:type="gramStart"/>
      <w:r w:rsidR="00014B33">
        <w:t>in order to</w:t>
      </w:r>
      <w:proofErr w:type="gramEnd"/>
      <w:r w:rsidR="00014B33">
        <w:t xml:space="preserve"> define where the organization stands from cultural point of view and in order to provide the decision makers with a </w:t>
      </w:r>
      <w:r w:rsidR="00014B33" w:rsidRPr="00B02BA7">
        <w:rPr>
          <w:b/>
        </w:rPr>
        <w:t>ROI (Return on Investment)</w:t>
      </w:r>
      <w:r w:rsidR="00014B33">
        <w:t xml:space="preserve"> estimation for their investment in the </w:t>
      </w:r>
      <w:r w:rsidR="00B02BA7">
        <w:t>Model, which will be re-evaluated at the end of the model lifecycle</w:t>
      </w:r>
      <w:r w:rsidR="00014B33">
        <w:t>.</w:t>
      </w:r>
    </w:p>
    <w:p w:rsidR="0087194C" w:rsidRPr="00014B33" w:rsidRDefault="00014B33" w:rsidP="0001793A">
      <w:pPr>
        <w:jc w:val="both"/>
      </w:pPr>
      <w:r>
        <w:t xml:space="preserve">The Cultural Assessment is the </w:t>
      </w:r>
      <w:r w:rsidRPr="00014B33">
        <w:rPr>
          <w:b/>
        </w:rPr>
        <w:t>“Entry Point”</w:t>
      </w:r>
      <w:r>
        <w:t xml:space="preserve"> to the </w:t>
      </w:r>
      <w:r w:rsidR="00B02BA7">
        <w:t>Model</w:t>
      </w:r>
      <w:r>
        <w:t xml:space="preserve">, as well as the </w:t>
      </w:r>
      <w:r w:rsidRPr="00014B33">
        <w:rPr>
          <w:b/>
        </w:rPr>
        <w:t>“Exit Point”</w:t>
      </w:r>
      <w:r>
        <w:t xml:space="preserve"> at the end of the whole </w:t>
      </w:r>
      <w:r w:rsidR="00B02BA7">
        <w:t>Model</w:t>
      </w:r>
      <w:r>
        <w:t xml:space="preserve">, when the organization’s Culture is renewed, according to what has been desired and agreed at the beginning of the program! </w:t>
      </w:r>
    </w:p>
    <w:p w:rsidR="0001793A" w:rsidRDefault="00313777" w:rsidP="0001793A">
      <w:pPr>
        <w:jc w:val="both"/>
      </w:pPr>
      <w:r>
        <w:t xml:space="preserve">The </w:t>
      </w:r>
      <w:r w:rsidR="00B02BA7">
        <w:t>Model</w:t>
      </w:r>
      <w:r>
        <w:t xml:space="preserve"> consists of the following types of Programs:</w:t>
      </w:r>
    </w:p>
    <w:p w:rsidR="00313777" w:rsidRPr="005C727C" w:rsidRDefault="00313777" w:rsidP="00313777">
      <w:pPr>
        <w:pStyle w:val="ListParagraph"/>
        <w:numPr>
          <w:ilvl w:val="0"/>
          <w:numId w:val="3"/>
        </w:numPr>
        <w:jc w:val="both"/>
        <w:rPr>
          <w:b/>
          <w:color w:val="00B050"/>
        </w:rPr>
      </w:pPr>
      <w:r w:rsidRPr="005C727C">
        <w:rPr>
          <w:b/>
          <w:color w:val="00B050"/>
        </w:rPr>
        <w:t xml:space="preserve">The </w:t>
      </w:r>
      <w:r w:rsidR="00B02BA7">
        <w:rPr>
          <w:b/>
          <w:color w:val="00B050"/>
        </w:rPr>
        <w:t>Journey</w:t>
      </w:r>
      <w:r w:rsidRPr="005C727C">
        <w:rPr>
          <w:b/>
          <w:color w:val="00B050"/>
        </w:rPr>
        <w:t xml:space="preserve"> Programs</w:t>
      </w:r>
    </w:p>
    <w:p w:rsidR="00313777" w:rsidRPr="005C727C" w:rsidRDefault="00313777" w:rsidP="00313777">
      <w:pPr>
        <w:pStyle w:val="ListParagraph"/>
        <w:numPr>
          <w:ilvl w:val="0"/>
          <w:numId w:val="3"/>
        </w:numPr>
        <w:jc w:val="both"/>
        <w:rPr>
          <w:b/>
          <w:color w:val="0070C0"/>
        </w:rPr>
      </w:pPr>
      <w:r w:rsidRPr="005C727C">
        <w:rPr>
          <w:b/>
          <w:color w:val="0070C0"/>
        </w:rPr>
        <w:t xml:space="preserve">The </w:t>
      </w:r>
      <w:r w:rsidR="00B02BA7">
        <w:rPr>
          <w:b/>
          <w:color w:val="0070C0"/>
        </w:rPr>
        <w:t>Embedding</w:t>
      </w:r>
      <w:r w:rsidRPr="005C727C">
        <w:rPr>
          <w:b/>
          <w:color w:val="0070C0"/>
        </w:rPr>
        <w:t xml:space="preserve"> Programs</w:t>
      </w:r>
    </w:p>
    <w:p w:rsidR="00505603" w:rsidRPr="005C727C" w:rsidRDefault="00505603" w:rsidP="00313777">
      <w:pPr>
        <w:pStyle w:val="ListParagraph"/>
        <w:numPr>
          <w:ilvl w:val="0"/>
          <w:numId w:val="3"/>
        </w:numPr>
        <w:jc w:val="both"/>
        <w:rPr>
          <w:b/>
          <w:color w:val="7030A0"/>
        </w:rPr>
      </w:pPr>
      <w:r w:rsidRPr="005C727C">
        <w:rPr>
          <w:b/>
          <w:color w:val="7030A0"/>
        </w:rPr>
        <w:t xml:space="preserve">The </w:t>
      </w:r>
      <w:r w:rsidR="0078706B">
        <w:rPr>
          <w:b/>
          <w:color w:val="7030A0"/>
        </w:rPr>
        <w:t>Enhancing</w:t>
      </w:r>
      <w:r w:rsidRPr="005C727C">
        <w:rPr>
          <w:b/>
          <w:color w:val="7030A0"/>
        </w:rPr>
        <w:t xml:space="preserve"> </w:t>
      </w:r>
      <w:r w:rsidR="0078706B">
        <w:rPr>
          <w:b/>
          <w:color w:val="7030A0"/>
        </w:rPr>
        <w:t>Opportunitie</w:t>
      </w:r>
      <w:r w:rsidRPr="005C727C">
        <w:rPr>
          <w:b/>
          <w:color w:val="7030A0"/>
        </w:rPr>
        <w:t>s</w:t>
      </w:r>
    </w:p>
    <w:p w:rsidR="008131E9" w:rsidRDefault="008131E9" w:rsidP="005C727C">
      <w:pPr>
        <w:jc w:val="both"/>
        <w:rPr>
          <w:b/>
          <w:color w:val="00B050"/>
        </w:rPr>
      </w:pPr>
    </w:p>
    <w:p w:rsidR="005C727C" w:rsidRPr="008131E9" w:rsidRDefault="00B02BA7" w:rsidP="005C727C">
      <w:pPr>
        <w:jc w:val="both"/>
        <w:rPr>
          <w:b/>
          <w:sz w:val="28"/>
          <w:szCs w:val="28"/>
          <w:u w:val="single"/>
        </w:rPr>
      </w:pPr>
      <w:r>
        <w:rPr>
          <w:b/>
          <w:color w:val="00B050"/>
          <w:sz w:val="28"/>
          <w:szCs w:val="28"/>
          <w:u w:val="single"/>
        </w:rPr>
        <w:t>The Journey</w:t>
      </w:r>
      <w:r w:rsidR="005C727C" w:rsidRPr="008131E9">
        <w:rPr>
          <w:b/>
          <w:sz w:val="28"/>
          <w:szCs w:val="28"/>
          <w:u w:val="single"/>
        </w:rPr>
        <w:t xml:space="preserve"> Programs: </w:t>
      </w:r>
    </w:p>
    <w:p w:rsidR="005C727C" w:rsidRDefault="005C727C" w:rsidP="005C727C">
      <w:pPr>
        <w:jc w:val="both"/>
      </w:pPr>
      <w:r>
        <w:t xml:space="preserve">The </w:t>
      </w:r>
      <w:r w:rsidR="00B02BA7">
        <w:t>Journey</w:t>
      </w:r>
      <w:r>
        <w:t xml:space="preserve"> Programs (in </w:t>
      </w:r>
      <w:r w:rsidRPr="00F65FC9">
        <w:rPr>
          <w:color w:val="00B050"/>
        </w:rPr>
        <w:t>green</w:t>
      </w:r>
      <w:r>
        <w:t xml:space="preserve">) are obligatory </w:t>
      </w:r>
      <w:proofErr w:type="gramStart"/>
      <w:r>
        <w:t>in order to</w:t>
      </w:r>
      <w:proofErr w:type="gramEnd"/>
      <w:r>
        <w:t xml:space="preserve"> complete The Bigger Mind </w:t>
      </w:r>
      <w:r w:rsidR="00B02BA7">
        <w:t>Model</w:t>
      </w:r>
      <w:r>
        <w:t xml:space="preserve"> and follow the strict </w:t>
      </w:r>
      <w:r w:rsidR="00B02BA7">
        <w:t xml:space="preserve">linear </w:t>
      </w:r>
      <w:r>
        <w:t xml:space="preserve">sequence, as described below. </w:t>
      </w:r>
    </w:p>
    <w:p w:rsidR="005C727C" w:rsidRPr="005C727C" w:rsidRDefault="00F65FC9" w:rsidP="005C727C">
      <w:pPr>
        <w:jc w:val="both"/>
        <w:rPr>
          <w:color w:val="00B050"/>
        </w:rPr>
      </w:pPr>
      <w:r>
        <w:t xml:space="preserve">Those programs are the </w:t>
      </w:r>
      <w:r w:rsidRPr="00F65FC9">
        <w:rPr>
          <w:i/>
        </w:rPr>
        <w:t>Transformational DNA</w:t>
      </w:r>
      <w:r>
        <w:t xml:space="preserve"> of the model!</w:t>
      </w:r>
    </w:p>
    <w:p w:rsidR="00B02BA7" w:rsidRDefault="00B02BA7" w:rsidP="005C727C">
      <w:pPr>
        <w:pStyle w:val="ListParagraph"/>
        <w:numPr>
          <w:ilvl w:val="0"/>
          <w:numId w:val="2"/>
        </w:numPr>
        <w:jc w:val="both"/>
        <w:rPr>
          <w:b/>
          <w:color w:val="00B050"/>
        </w:rPr>
      </w:pPr>
      <w:r>
        <w:rPr>
          <w:b/>
          <w:color w:val="00B050"/>
        </w:rPr>
        <w:t>CEO Coaching</w:t>
      </w:r>
    </w:p>
    <w:p w:rsidR="00B02BA7" w:rsidRPr="00B02BA7" w:rsidRDefault="005C727C" w:rsidP="00B02BA7">
      <w:pPr>
        <w:pStyle w:val="ListParagraph"/>
        <w:numPr>
          <w:ilvl w:val="0"/>
          <w:numId w:val="2"/>
        </w:numPr>
        <w:jc w:val="both"/>
        <w:rPr>
          <w:b/>
          <w:color w:val="00B050"/>
        </w:rPr>
      </w:pPr>
      <w:r w:rsidRPr="005C727C">
        <w:rPr>
          <w:b/>
          <w:color w:val="00B050"/>
        </w:rPr>
        <w:t>LTA</w:t>
      </w:r>
      <w:r w:rsidR="00B02BA7" w:rsidRPr="00B02BA7">
        <w:rPr>
          <w:b/>
          <w:color w:val="00B050"/>
          <w:vertAlign w:val="superscript"/>
        </w:rPr>
        <w:t xml:space="preserve"> TM</w:t>
      </w:r>
      <w:r w:rsidR="00B02BA7" w:rsidRPr="00B02BA7">
        <w:t xml:space="preserve">: </w:t>
      </w:r>
      <w:r w:rsidRPr="00B02BA7">
        <w:t>Leadership Team Alignment</w:t>
      </w:r>
    </w:p>
    <w:p w:rsidR="00EF3E31" w:rsidRPr="0078706B" w:rsidRDefault="00EF3E31" w:rsidP="00B02BA7">
      <w:pPr>
        <w:pStyle w:val="ListParagraph"/>
        <w:numPr>
          <w:ilvl w:val="0"/>
          <w:numId w:val="2"/>
        </w:numPr>
        <w:jc w:val="both"/>
        <w:rPr>
          <w:b/>
          <w:color w:val="00B050"/>
        </w:rPr>
      </w:pPr>
      <w:r w:rsidRPr="00B02BA7">
        <w:rPr>
          <w:b/>
          <w:color w:val="00B050"/>
        </w:rPr>
        <w:t>Cascade</w:t>
      </w:r>
      <w:r w:rsidR="00B02BA7" w:rsidRPr="00B02BA7">
        <w:t>:</w:t>
      </w:r>
      <w:r w:rsidRPr="00B02BA7">
        <w:t xml:space="preserve"> Vision &amp; Values</w:t>
      </w:r>
    </w:p>
    <w:p w:rsidR="0078706B" w:rsidRPr="00B02BA7" w:rsidRDefault="0078706B" w:rsidP="00B02BA7">
      <w:pPr>
        <w:pStyle w:val="ListParagraph"/>
        <w:numPr>
          <w:ilvl w:val="0"/>
          <w:numId w:val="2"/>
        </w:numPr>
        <w:jc w:val="both"/>
        <w:rPr>
          <w:b/>
          <w:color w:val="00B050"/>
        </w:rPr>
      </w:pPr>
      <w:r>
        <w:rPr>
          <w:b/>
          <w:color w:val="00B050"/>
        </w:rPr>
        <w:t>Leadership Branding</w:t>
      </w:r>
    </w:p>
    <w:p w:rsidR="00B02BA7" w:rsidRDefault="00B02BA7" w:rsidP="005C727C">
      <w:pPr>
        <w:pStyle w:val="ListParagraph"/>
        <w:numPr>
          <w:ilvl w:val="0"/>
          <w:numId w:val="2"/>
        </w:numPr>
        <w:jc w:val="both"/>
        <w:rPr>
          <w:b/>
          <w:color w:val="00B050"/>
        </w:rPr>
      </w:pPr>
      <w:r>
        <w:rPr>
          <w:b/>
          <w:color w:val="00B050"/>
        </w:rPr>
        <w:t>Leadership Agility 360</w:t>
      </w:r>
      <w:r w:rsidRPr="00B02BA7">
        <w:rPr>
          <w:b/>
          <w:color w:val="00B050"/>
          <w:vertAlign w:val="superscript"/>
        </w:rPr>
        <w:t>TM</w:t>
      </w:r>
    </w:p>
    <w:p w:rsidR="00B02BA7" w:rsidRDefault="00B02BA7" w:rsidP="005C727C">
      <w:pPr>
        <w:pStyle w:val="ListParagraph"/>
        <w:numPr>
          <w:ilvl w:val="0"/>
          <w:numId w:val="2"/>
        </w:numPr>
        <w:jc w:val="both"/>
        <w:rPr>
          <w:b/>
          <w:color w:val="00B050"/>
        </w:rPr>
      </w:pPr>
      <w:r>
        <w:rPr>
          <w:b/>
          <w:color w:val="00B050"/>
        </w:rPr>
        <w:t>ORA</w:t>
      </w:r>
      <w:r w:rsidRPr="00B02BA7">
        <w:rPr>
          <w:b/>
          <w:color w:val="00B050"/>
          <w:vertAlign w:val="superscript"/>
        </w:rPr>
        <w:t xml:space="preserve"> TM</w:t>
      </w:r>
      <w:r w:rsidRPr="00B02BA7">
        <w:t xml:space="preserve">: </w:t>
      </w:r>
      <w:r>
        <w:t>depending of organization’ size</w:t>
      </w:r>
    </w:p>
    <w:p w:rsidR="00B02BA7" w:rsidRDefault="00B02BA7" w:rsidP="00B02BA7">
      <w:pPr>
        <w:jc w:val="both"/>
        <w:rPr>
          <w:b/>
          <w:color w:val="00B050"/>
        </w:rPr>
      </w:pPr>
    </w:p>
    <w:p w:rsidR="00F65FC9" w:rsidRDefault="00F65FC9" w:rsidP="00B02BA7">
      <w:pPr>
        <w:jc w:val="both"/>
        <w:rPr>
          <w:b/>
          <w:color w:val="00B050"/>
        </w:rPr>
      </w:pPr>
    </w:p>
    <w:p w:rsidR="00F65FC9" w:rsidRDefault="00F65FC9" w:rsidP="00B02BA7">
      <w:pPr>
        <w:jc w:val="both"/>
        <w:rPr>
          <w:b/>
          <w:color w:val="00B050"/>
        </w:rPr>
      </w:pPr>
    </w:p>
    <w:p w:rsidR="00F65FC9" w:rsidRPr="00B02BA7" w:rsidRDefault="00F65FC9" w:rsidP="00B02BA7">
      <w:pPr>
        <w:jc w:val="both"/>
        <w:rPr>
          <w:b/>
          <w:color w:val="00B050"/>
        </w:rPr>
      </w:pPr>
    </w:p>
    <w:p w:rsidR="0001793A" w:rsidRPr="008131E9" w:rsidRDefault="00F65FC9" w:rsidP="0001793A">
      <w:pPr>
        <w:jc w:val="both"/>
        <w:rPr>
          <w:color w:val="7030A0"/>
          <w:sz w:val="28"/>
          <w:szCs w:val="28"/>
          <w:u w:val="single"/>
        </w:rPr>
      </w:pPr>
      <w:bookmarkStart w:id="0" w:name="_Hlk500840864"/>
      <w:r w:rsidRPr="00F65FC9">
        <w:rPr>
          <w:b/>
          <w:color w:val="0070C0"/>
          <w:sz w:val="28"/>
          <w:szCs w:val="28"/>
          <w:u w:val="single"/>
        </w:rPr>
        <w:lastRenderedPageBreak/>
        <w:t>The Embedding</w:t>
      </w:r>
      <w:r w:rsidR="005C727C" w:rsidRPr="008131E9">
        <w:rPr>
          <w:b/>
          <w:color w:val="7030A0"/>
          <w:sz w:val="28"/>
          <w:szCs w:val="28"/>
          <w:u w:val="single"/>
        </w:rPr>
        <w:t xml:space="preserve"> </w:t>
      </w:r>
      <w:r w:rsidR="005C727C" w:rsidRPr="008131E9">
        <w:rPr>
          <w:b/>
          <w:sz w:val="28"/>
          <w:szCs w:val="28"/>
          <w:u w:val="single"/>
        </w:rPr>
        <w:t>Programs</w:t>
      </w:r>
      <w:r w:rsidR="0001793A" w:rsidRPr="008131E9">
        <w:rPr>
          <w:sz w:val="28"/>
          <w:szCs w:val="28"/>
          <w:u w:val="single"/>
        </w:rPr>
        <w:t>:</w:t>
      </w:r>
    </w:p>
    <w:bookmarkEnd w:id="0"/>
    <w:p w:rsidR="00F65FC9" w:rsidRDefault="00F65FC9" w:rsidP="00F65FC9">
      <w:pPr>
        <w:jc w:val="both"/>
      </w:pPr>
      <w:r>
        <w:t xml:space="preserve">The Embedding Programs (in </w:t>
      </w:r>
      <w:r w:rsidRPr="00F65FC9">
        <w:rPr>
          <w:color w:val="0070C0"/>
        </w:rPr>
        <w:t>blue</w:t>
      </w:r>
      <w:r>
        <w:t>) are value adding programs that are planned throughout the duration of The Bigger Mind Model and are decided based on the measured outcomes of each phase of the Model. The do not follow a linear sequence, they can happen any point of time.</w:t>
      </w:r>
    </w:p>
    <w:p w:rsidR="00F65FC9" w:rsidRDefault="00F65FC9" w:rsidP="00F65FC9">
      <w:pPr>
        <w:jc w:val="both"/>
      </w:pPr>
      <w:r>
        <w:t xml:space="preserve">The purpose of these programs is </w:t>
      </w:r>
      <w:r w:rsidRPr="00F65FC9">
        <w:rPr>
          <w:i/>
        </w:rPr>
        <w:t>Embedding the Cultural Tran</w:t>
      </w:r>
      <w:r>
        <w:rPr>
          <w:i/>
        </w:rPr>
        <w:t>s</w:t>
      </w:r>
      <w:r w:rsidRPr="00F65FC9">
        <w:rPr>
          <w:i/>
        </w:rPr>
        <w:t>formation</w:t>
      </w:r>
      <w:r>
        <w:t xml:space="preserve"> (i.e. the new Behaviors, Values and Skills) in the organization!</w:t>
      </w:r>
    </w:p>
    <w:p w:rsidR="00F65FC9" w:rsidRPr="0078706B" w:rsidRDefault="00F65FC9" w:rsidP="00F65FC9">
      <w:pPr>
        <w:jc w:val="both"/>
        <w:rPr>
          <w:color w:val="0070C0"/>
        </w:rPr>
      </w:pPr>
    </w:p>
    <w:p w:rsidR="00F65FC9" w:rsidRPr="0078706B" w:rsidRDefault="0001793A" w:rsidP="0078706B">
      <w:pPr>
        <w:pStyle w:val="ListParagraph"/>
        <w:numPr>
          <w:ilvl w:val="0"/>
          <w:numId w:val="1"/>
        </w:numPr>
        <w:jc w:val="both"/>
        <w:rPr>
          <w:b/>
          <w:color w:val="0070C0"/>
        </w:rPr>
      </w:pPr>
      <w:proofErr w:type="spellStart"/>
      <w:r w:rsidRPr="0078706B">
        <w:rPr>
          <w:b/>
          <w:color w:val="0070C0"/>
        </w:rPr>
        <w:t>MasterNOUS</w:t>
      </w:r>
      <w:r w:rsidR="00F65FC9" w:rsidRPr="0078706B">
        <w:rPr>
          <w:b/>
          <w:color w:val="0070C0"/>
          <w:vertAlign w:val="superscript"/>
        </w:rPr>
        <w:t>TM</w:t>
      </w:r>
      <w:proofErr w:type="spellEnd"/>
      <w:r w:rsidRPr="00F65FC9">
        <w:t xml:space="preserve">: </w:t>
      </w:r>
      <w:r w:rsidR="00F65FC9" w:rsidRPr="00F65FC9">
        <w:t>CEO and Leadership Team</w:t>
      </w:r>
      <w:r w:rsidRPr="00F65FC9">
        <w:t xml:space="preserve"> Coaching</w:t>
      </w:r>
      <w:r w:rsidR="00EF3E31" w:rsidRPr="00F65FC9">
        <w:t xml:space="preserve"> &amp; Advisory</w:t>
      </w:r>
    </w:p>
    <w:p w:rsidR="0078706B" w:rsidRPr="0078706B" w:rsidRDefault="0078706B" w:rsidP="00252B78">
      <w:pPr>
        <w:pStyle w:val="ListParagraph"/>
        <w:numPr>
          <w:ilvl w:val="0"/>
          <w:numId w:val="1"/>
        </w:numPr>
        <w:jc w:val="both"/>
        <w:rPr>
          <w:b/>
          <w:color w:val="0070C0"/>
        </w:rPr>
      </w:pPr>
      <w:r w:rsidRPr="0078706B">
        <w:rPr>
          <w:b/>
          <w:color w:val="0070C0"/>
        </w:rPr>
        <w:t>BrainBites</w:t>
      </w:r>
      <w:r w:rsidRPr="0078706B">
        <w:rPr>
          <w:b/>
          <w:color w:val="0070C0"/>
          <w:vertAlign w:val="superscript"/>
        </w:rPr>
        <w:t>TM</w:t>
      </w:r>
    </w:p>
    <w:p w:rsidR="0078706B" w:rsidRPr="0078706B" w:rsidRDefault="0078706B" w:rsidP="00252B78">
      <w:pPr>
        <w:pStyle w:val="ListParagraph"/>
        <w:numPr>
          <w:ilvl w:val="0"/>
          <w:numId w:val="1"/>
        </w:numPr>
        <w:jc w:val="both"/>
        <w:rPr>
          <w:b/>
          <w:color w:val="0070C0"/>
        </w:rPr>
      </w:pPr>
      <w:r w:rsidRPr="0078706B">
        <w:rPr>
          <w:b/>
          <w:color w:val="0070C0"/>
        </w:rPr>
        <w:t>Strategic Retreats</w:t>
      </w:r>
    </w:p>
    <w:p w:rsidR="0078706B" w:rsidRDefault="0078706B" w:rsidP="0078706B">
      <w:pPr>
        <w:jc w:val="both"/>
        <w:rPr>
          <w:b/>
          <w:color w:val="7030A0"/>
        </w:rPr>
      </w:pPr>
    </w:p>
    <w:p w:rsidR="0078706B" w:rsidRPr="008131E9" w:rsidRDefault="0078706B" w:rsidP="0078706B">
      <w:pPr>
        <w:jc w:val="both"/>
        <w:rPr>
          <w:color w:val="7030A0"/>
          <w:sz w:val="28"/>
          <w:szCs w:val="28"/>
          <w:u w:val="single"/>
        </w:rPr>
      </w:pPr>
      <w:r w:rsidRPr="0078706B">
        <w:rPr>
          <w:b/>
          <w:color w:val="7030A0"/>
          <w:sz w:val="28"/>
          <w:szCs w:val="28"/>
          <w:u w:val="single"/>
        </w:rPr>
        <w:t>The Enhancing</w:t>
      </w:r>
      <w:r w:rsidRPr="008131E9">
        <w:rPr>
          <w:b/>
          <w:color w:val="7030A0"/>
          <w:sz w:val="28"/>
          <w:szCs w:val="28"/>
          <w:u w:val="single"/>
        </w:rPr>
        <w:t xml:space="preserve"> </w:t>
      </w:r>
      <w:r>
        <w:rPr>
          <w:b/>
          <w:sz w:val="28"/>
          <w:szCs w:val="28"/>
          <w:u w:val="single"/>
        </w:rPr>
        <w:t>Opti</w:t>
      </w:r>
      <w:r w:rsidR="00270FD5">
        <w:rPr>
          <w:b/>
          <w:sz w:val="28"/>
          <w:szCs w:val="28"/>
          <w:u w:val="single"/>
        </w:rPr>
        <w:t>on</w:t>
      </w:r>
      <w:r w:rsidRPr="008131E9">
        <w:rPr>
          <w:b/>
          <w:sz w:val="28"/>
          <w:szCs w:val="28"/>
          <w:u w:val="single"/>
        </w:rPr>
        <w:t>s</w:t>
      </w:r>
      <w:r w:rsidRPr="008131E9">
        <w:rPr>
          <w:sz w:val="28"/>
          <w:szCs w:val="28"/>
          <w:u w:val="single"/>
        </w:rPr>
        <w:t>:</w:t>
      </w:r>
    </w:p>
    <w:p w:rsidR="0078706B" w:rsidRDefault="0078706B" w:rsidP="0078706B">
      <w:pPr>
        <w:jc w:val="both"/>
      </w:pPr>
      <w:r>
        <w:t>The Enhancing Opti</w:t>
      </w:r>
      <w:r w:rsidR="00D95911">
        <w:t>on</w:t>
      </w:r>
      <w:r>
        <w:t>s are additional op</w:t>
      </w:r>
      <w:r w:rsidR="00D95911">
        <w:t>portunities</w:t>
      </w:r>
      <w:r>
        <w:t xml:space="preserve"> during the Bigger Mind Model duration that would further enhance the knowledge-base and the inspiration of the Leadership Team and the overall organization.</w:t>
      </w:r>
    </w:p>
    <w:p w:rsidR="0078706B" w:rsidRPr="0078706B" w:rsidRDefault="0078706B" w:rsidP="0078706B">
      <w:pPr>
        <w:jc w:val="both"/>
      </w:pPr>
      <w:r w:rsidRPr="0078706B">
        <w:t>Indicatively, such op</w:t>
      </w:r>
      <w:r w:rsidR="00D95911">
        <w:t>tions</w:t>
      </w:r>
      <w:r w:rsidRPr="0078706B">
        <w:t xml:space="preserve"> could be:</w:t>
      </w:r>
    </w:p>
    <w:p w:rsidR="002D38CD" w:rsidRPr="00664F74" w:rsidRDefault="00252B78" w:rsidP="00252B78">
      <w:pPr>
        <w:pStyle w:val="ListParagraph"/>
        <w:numPr>
          <w:ilvl w:val="0"/>
          <w:numId w:val="1"/>
        </w:numPr>
        <w:jc w:val="both"/>
        <w:rPr>
          <w:b/>
          <w:color w:val="7030A0"/>
        </w:rPr>
      </w:pPr>
      <w:r w:rsidRPr="00664F74">
        <w:rPr>
          <w:b/>
          <w:color w:val="7030A0"/>
        </w:rPr>
        <w:t>Bigger Mind Forum</w:t>
      </w:r>
    </w:p>
    <w:p w:rsidR="00252B78" w:rsidRDefault="00252B78" w:rsidP="00252B78">
      <w:pPr>
        <w:jc w:val="both"/>
      </w:pPr>
      <w:r>
        <w:t>The Executive Leadership Team</w:t>
      </w:r>
      <w:r w:rsidR="00664F74">
        <w:t xml:space="preserve"> with the CEO participate in our company’s Fora, where the topic introduced is always relevant and Value-Adding towards enriching the Bigger Mind Culture of the organization. The conclusions of the Fora get discussed with the Team to draw conclusions about how to apply this newly acquired knowledge in the organization.</w:t>
      </w:r>
    </w:p>
    <w:p w:rsidR="00EF3E31" w:rsidRPr="00664F74" w:rsidRDefault="00EF3E31" w:rsidP="00EF3E31">
      <w:pPr>
        <w:pStyle w:val="ListParagraph"/>
        <w:numPr>
          <w:ilvl w:val="0"/>
          <w:numId w:val="1"/>
        </w:numPr>
        <w:jc w:val="both"/>
        <w:rPr>
          <w:b/>
          <w:color w:val="7030A0"/>
        </w:rPr>
      </w:pPr>
      <w:r>
        <w:rPr>
          <w:b/>
          <w:color w:val="7030A0"/>
        </w:rPr>
        <w:t>Bigger Mind S (OPTIONAL</w:t>
      </w:r>
      <w:r w:rsidR="001A3EDC">
        <w:rPr>
          <w:b/>
          <w:color w:val="7030A0"/>
        </w:rPr>
        <w:t>)</w:t>
      </w:r>
    </w:p>
    <w:p w:rsidR="00EF3E31" w:rsidRDefault="00EF3E31" w:rsidP="00252B78">
      <w:pPr>
        <w:jc w:val="both"/>
      </w:pPr>
      <w:r>
        <w:t xml:space="preserve">The organizations that are on board The Bigger Mind </w:t>
      </w:r>
      <w:r w:rsidR="00B02BA7">
        <w:t>Model</w:t>
      </w:r>
      <w:r>
        <w:t xml:space="preserve"> will enjoy special benefits, as having priority in private / customized workshops, provide by the Bigger Mind Forum Key Note Speakers. In that way, the Leadership Teams as well as the whole organization would benefit from innovative ideas and breakthrough discussions with international renowned Leadership personas.</w:t>
      </w:r>
    </w:p>
    <w:p w:rsidR="0078706B" w:rsidRDefault="00EF3E31" w:rsidP="00252B78">
      <w:pPr>
        <w:jc w:val="both"/>
      </w:pPr>
      <w:r>
        <w:t xml:space="preserve"> </w:t>
      </w:r>
    </w:p>
    <w:p w:rsidR="008131E9" w:rsidRPr="003A2BD0" w:rsidRDefault="008131E9" w:rsidP="00252B78">
      <w:pPr>
        <w:jc w:val="both"/>
        <w:rPr>
          <w:highlight w:val="yellow"/>
        </w:rPr>
      </w:pPr>
      <w:bookmarkStart w:id="1" w:name="_GoBack"/>
      <w:bookmarkEnd w:id="1"/>
      <w:r w:rsidRPr="003A2BD0">
        <w:rPr>
          <w:b/>
          <w:sz w:val="32"/>
          <w:szCs w:val="32"/>
          <w:highlight w:val="yellow"/>
          <w:u w:val="single"/>
        </w:rPr>
        <w:t>D</w:t>
      </w:r>
      <w:r w:rsidR="00F34324" w:rsidRPr="003A2BD0">
        <w:rPr>
          <w:b/>
          <w:sz w:val="32"/>
          <w:szCs w:val="32"/>
          <w:highlight w:val="yellow"/>
          <w:u w:val="single"/>
        </w:rPr>
        <w:t>esign Brief</w:t>
      </w:r>
      <w:r w:rsidRPr="003A2BD0">
        <w:rPr>
          <w:b/>
          <w:sz w:val="32"/>
          <w:szCs w:val="32"/>
          <w:highlight w:val="yellow"/>
          <w:u w:val="single"/>
        </w:rPr>
        <w:t>:</w:t>
      </w:r>
    </w:p>
    <w:p w:rsidR="003A2BD0" w:rsidRPr="003A2BD0" w:rsidRDefault="00F34324" w:rsidP="00F34324">
      <w:pPr>
        <w:jc w:val="both"/>
        <w:rPr>
          <w:highlight w:val="yellow"/>
        </w:rPr>
      </w:pPr>
      <w:r w:rsidRPr="003A2BD0">
        <w:rPr>
          <w:highlight w:val="yellow"/>
        </w:rPr>
        <w:t xml:space="preserve">We would </w:t>
      </w:r>
      <w:proofErr w:type="gramStart"/>
      <w:r w:rsidRPr="003A2BD0">
        <w:rPr>
          <w:highlight w:val="yellow"/>
        </w:rPr>
        <w:t>like  a</w:t>
      </w:r>
      <w:proofErr w:type="gramEnd"/>
      <w:r w:rsidRPr="003A2BD0">
        <w:rPr>
          <w:highlight w:val="yellow"/>
        </w:rPr>
        <w:t xml:space="preserve"> 3D</w:t>
      </w:r>
      <w:r w:rsidR="003A2BD0" w:rsidRPr="003A2BD0">
        <w:rPr>
          <w:highlight w:val="yellow"/>
        </w:rPr>
        <w:t xml:space="preserve"> look </w:t>
      </w:r>
      <w:r w:rsidRPr="003A2BD0">
        <w:rPr>
          <w:highlight w:val="yellow"/>
        </w:rPr>
        <w:t xml:space="preserve"> design where</w:t>
      </w:r>
      <w:r w:rsidR="003A2BD0" w:rsidRPr="003A2BD0">
        <w:rPr>
          <w:highlight w:val="yellow"/>
        </w:rPr>
        <w:t>:</w:t>
      </w:r>
    </w:p>
    <w:p w:rsidR="00F34324" w:rsidRPr="003A2BD0" w:rsidRDefault="003A2BD0" w:rsidP="00F34324">
      <w:pPr>
        <w:jc w:val="both"/>
        <w:rPr>
          <w:b/>
          <w:color w:val="7030A0"/>
          <w:u w:val="single"/>
        </w:rPr>
      </w:pPr>
      <w:r w:rsidRPr="003A2BD0">
        <w:rPr>
          <w:b/>
          <w:highlight w:val="yellow"/>
        </w:rPr>
        <w:t>T</w:t>
      </w:r>
      <w:r w:rsidR="00F34324" w:rsidRPr="003A2BD0">
        <w:rPr>
          <w:b/>
          <w:highlight w:val="yellow"/>
        </w:rPr>
        <w:t xml:space="preserve">he </w:t>
      </w:r>
      <w:proofErr w:type="gramStart"/>
      <w:r w:rsidR="00F34324" w:rsidRPr="003A2BD0">
        <w:rPr>
          <w:b/>
          <w:highlight w:val="yellow"/>
        </w:rPr>
        <w:t>b</w:t>
      </w:r>
      <w:r w:rsidRPr="003A2BD0">
        <w:rPr>
          <w:b/>
          <w:highlight w:val="yellow"/>
        </w:rPr>
        <w:t xml:space="preserve">ase </w:t>
      </w:r>
      <w:r w:rsidR="00F34324" w:rsidRPr="003A2BD0">
        <w:rPr>
          <w:b/>
          <w:highlight w:val="yellow"/>
        </w:rPr>
        <w:t xml:space="preserve"> is</w:t>
      </w:r>
      <w:proofErr w:type="gramEnd"/>
      <w:r w:rsidR="00F34324" w:rsidRPr="003A2BD0">
        <w:rPr>
          <w:b/>
          <w:highlight w:val="yellow"/>
        </w:rPr>
        <w:t xml:space="preserve"> the </w:t>
      </w:r>
      <w:r w:rsidR="00F34324" w:rsidRPr="003A2BD0">
        <w:rPr>
          <w:b/>
          <w:color w:val="00B050"/>
          <w:highlight w:val="yellow"/>
          <w:u w:val="single"/>
        </w:rPr>
        <w:t xml:space="preserve"> </w:t>
      </w:r>
      <w:proofErr w:type="spellStart"/>
      <w:r w:rsidR="00F34324" w:rsidRPr="003A2BD0">
        <w:rPr>
          <w:b/>
          <w:color w:val="00B050"/>
          <w:highlight w:val="yellow"/>
          <w:u w:val="single"/>
        </w:rPr>
        <w:t>The</w:t>
      </w:r>
      <w:proofErr w:type="spellEnd"/>
      <w:r w:rsidR="00F34324" w:rsidRPr="003A2BD0">
        <w:rPr>
          <w:b/>
          <w:color w:val="00B050"/>
          <w:highlight w:val="yellow"/>
          <w:u w:val="single"/>
        </w:rPr>
        <w:t xml:space="preserve"> Journey</w:t>
      </w:r>
      <w:r w:rsidR="00F34324" w:rsidRPr="003A2BD0">
        <w:rPr>
          <w:b/>
          <w:highlight w:val="yellow"/>
          <w:u w:val="single"/>
        </w:rPr>
        <w:t xml:space="preserve"> Programs</w:t>
      </w:r>
      <w:r w:rsidR="00F34324" w:rsidRPr="003A2BD0">
        <w:rPr>
          <w:b/>
          <w:highlight w:val="yellow"/>
        </w:rPr>
        <w:t xml:space="preserve"> </w:t>
      </w:r>
      <w:r w:rsidRPr="003A2BD0">
        <w:rPr>
          <w:b/>
          <w:highlight w:val="yellow"/>
        </w:rPr>
        <w:t xml:space="preserve">circle </w:t>
      </w:r>
      <w:r w:rsidR="00F34324" w:rsidRPr="003A2BD0">
        <w:rPr>
          <w:b/>
          <w:highlight w:val="yellow"/>
        </w:rPr>
        <w:t xml:space="preserve">with the assessment and ROI. The </w:t>
      </w:r>
      <w:proofErr w:type="spellStart"/>
      <w:r w:rsidR="00F34324" w:rsidRPr="003A2BD0">
        <w:rPr>
          <w:b/>
          <w:color w:val="0070C0"/>
          <w:highlight w:val="yellow"/>
          <w:u w:val="single"/>
        </w:rPr>
        <w:t>The</w:t>
      </w:r>
      <w:proofErr w:type="spellEnd"/>
      <w:r w:rsidR="00F34324" w:rsidRPr="003A2BD0">
        <w:rPr>
          <w:b/>
          <w:color w:val="0070C0"/>
          <w:highlight w:val="yellow"/>
          <w:u w:val="single"/>
        </w:rPr>
        <w:t xml:space="preserve"> Embedding</w:t>
      </w:r>
      <w:r w:rsidR="00F34324" w:rsidRPr="003A2BD0">
        <w:rPr>
          <w:b/>
          <w:color w:val="7030A0"/>
          <w:highlight w:val="yellow"/>
          <w:u w:val="single"/>
        </w:rPr>
        <w:t xml:space="preserve"> </w:t>
      </w:r>
      <w:r w:rsidR="00F34324" w:rsidRPr="003A2BD0">
        <w:rPr>
          <w:b/>
          <w:highlight w:val="yellow"/>
          <w:u w:val="single"/>
        </w:rPr>
        <w:t>Programs</w:t>
      </w:r>
      <w:r w:rsidR="00F34324" w:rsidRPr="003A2BD0">
        <w:rPr>
          <w:b/>
          <w:highlight w:val="yellow"/>
          <w:u w:val="single"/>
        </w:rPr>
        <w:t xml:space="preserve"> </w:t>
      </w:r>
      <w:r w:rsidRPr="003A2BD0">
        <w:rPr>
          <w:b/>
          <w:highlight w:val="yellow"/>
        </w:rPr>
        <w:t>circle</w:t>
      </w:r>
      <w:r w:rsidRPr="003A2BD0">
        <w:rPr>
          <w:b/>
          <w:highlight w:val="yellow"/>
          <w:u w:val="single"/>
        </w:rPr>
        <w:t xml:space="preserve"> </w:t>
      </w:r>
      <w:r w:rsidR="00F34324" w:rsidRPr="003A2BD0">
        <w:rPr>
          <w:b/>
          <w:highlight w:val="yellow"/>
        </w:rPr>
        <w:t>show</w:t>
      </w:r>
      <w:r w:rsidRPr="003A2BD0">
        <w:rPr>
          <w:b/>
          <w:highlight w:val="yellow"/>
        </w:rPr>
        <w:t>s</w:t>
      </w:r>
      <w:r w:rsidR="00F34324" w:rsidRPr="003A2BD0">
        <w:rPr>
          <w:b/>
          <w:highlight w:val="yellow"/>
        </w:rPr>
        <w:t xml:space="preserve"> lower </w:t>
      </w:r>
      <w:proofErr w:type="gramStart"/>
      <w:r w:rsidR="00F34324" w:rsidRPr="003A2BD0">
        <w:rPr>
          <w:b/>
          <w:highlight w:val="yellow"/>
        </w:rPr>
        <w:t>in  the</w:t>
      </w:r>
      <w:proofErr w:type="gramEnd"/>
      <w:r w:rsidR="00F34324" w:rsidRPr="003A2BD0">
        <w:rPr>
          <w:b/>
          <w:highlight w:val="yellow"/>
        </w:rPr>
        <w:t xml:space="preserve"> core and the </w:t>
      </w:r>
      <w:proofErr w:type="spellStart"/>
      <w:r w:rsidRPr="003A2BD0">
        <w:rPr>
          <w:b/>
          <w:color w:val="7030A0"/>
          <w:highlight w:val="yellow"/>
          <w:u w:val="single"/>
        </w:rPr>
        <w:t>The</w:t>
      </w:r>
      <w:proofErr w:type="spellEnd"/>
      <w:r w:rsidRPr="003A2BD0">
        <w:rPr>
          <w:b/>
          <w:color w:val="7030A0"/>
          <w:highlight w:val="yellow"/>
          <w:u w:val="single"/>
        </w:rPr>
        <w:t xml:space="preserve"> Enhancing </w:t>
      </w:r>
      <w:r w:rsidRPr="003A2BD0">
        <w:rPr>
          <w:b/>
          <w:highlight w:val="yellow"/>
          <w:u w:val="single"/>
        </w:rPr>
        <w:t>Options</w:t>
      </w:r>
      <w:r w:rsidRPr="003A2BD0">
        <w:rPr>
          <w:b/>
          <w:highlight w:val="yellow"/>
        </w:rPr>
        <w:t xml:space="preserve"> </w:t>
      </w:r>
      <w:r w:rsidR="00F34324" w:rsidRPr="003A2BD0">
        <w:rPr>
          <w:b/>
          <w:highlight w:val="yellow"/>
        </w:rPr>
        <w:t xml:space="preserve"> circle shows  higher</w:t>
      </w:r>
      <w:r w:rsidRPr="003A2BD0">
        <w:rPr>
          <w:b/>
          <w:highlight w:val="yellow"/>
        </w:rPr>
        <w:t xml:space="preserve"> than the base circle</w:t>
      </w:r>
    </w:p>
    <w:p w:rsidR="00B20EB1" w:rsidRDefault="00B20EB1" w:rsidP="00B20EB1">
      <w:pPr>
        <w:jc w:val="both"/>
      </w:pPr>
    </w:p>
    <w:p w:rsidR="00B20EB1" w:rsidRDefault="00B20EB1" w:rsidP="00B20EB1">
      <w:pPr>
        <w:ind w:left="-180" w:hanging="630"/>
        <w:jc w:val="both"/>
      </w:pPr>
      <w:r w:rsidRPr="00B20EB1">
        <w:rPr>
          <w:noProof/>
        </w:rPr>
        <w:lastRenderedPageBreak/>
        <w:drawing>
          <wp:inline distT="0" distB="0" distL="0" distR="0">
            <wp:extent cx="7016750" cy="48389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28463" cy="4847020"/>
                    </a:xfrm>
                    <a:prstGeom prst="rect">
                      <a:avLst/>
                    </a:prstGeom>
                    <a:noFill/>
                    <a:ln>
                      <a:noFill/>
                    </a:ln>
                  </pic:spPr>
                </pic:pic>
              </a:graphicData>
            </a:graphic>
          </wp:inline>
        </w:drawing>
      </w:r>
    </w:p>
    <w:p w:rsidR="00B20EB1" w:rsidRDefault="00B20EB1" w:rsidP="00B20EB1">
      <w:pPr>
        <w:ind w:left="-180" w:hanging="630"/>
        <w:jc w:val="both"/>
      </w:pPr>
      <w:r w:rsidRPr="00B20EB1">
        <w:rPr>
          <w:noProof/>
        </w:rPr>
        <w:drawing>
          <wp:inline distT="0" distB="0" distL="0" distR="0" wp14:anchorId="147002B3" wp14:editId="28244048">
            <wp:extent cx="3487950" cy="1721200"/>
            <wp:effectExtent l="0" t="0" r="0" b="0"/>
            <wp:docPr id="45" name="Picture 44">
              <a:extLst xmlns:a="http://schemas.openxmlformats.org/drawingml/2006/main">
                <a:ext uri="{FF2B5EF4-FFF2-40B4-BE49-F238E27FC236}">
                  <a16:creationId xmlns:a16="http://schemas.microsoft.com/office/drawing/2014/main" id="{AA3E78CB-4AA5-4DF4-A0EF-0A1722E01F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a:extLst>
                        <a:ext uri="{FF2B5EF4-FFF2-40B4-BE49-F238E27FC236}">
                          <a16:creationId xmlns:a16="http://schemas.microsoft.com/office/drawing/2014/main" id="{AA3E78CB-4AA5-4DF4-A0EF-0A1722E01F50}"/>
                        </a:ext>
                      </a:extLst>
                    </pic:cNvPr>
                    <pic:cNvPicPr>
                      <a:picLocks noChangeAspect="1"/>
                    </pic:cNvPicPr>
                  </pic:nvPicPr>
                  <pic:blipFill>
                    <a:blip r:embed="rId6"/>
                    <a:stretch>
                      <a:fillRect/>
                    </a:stretch>
                  </pic:blipFill>
                  <pic:spPr>
                    <a:xfrm>
                      <a:off x="0" y="0"/>
                      <a:ext cx="3487950" cy="1721200"/>
                    </a:xfrm>
                    <a:prstGeom prst="rect">
                      <a:avLst/>
                    </a:prstGeom>
                  </pic:spPr>
                </pic:pic>
              </a:graphicData>
            </a:graphic>
          </wp:inline>
        </w:drawing>
      </w:r>
    </w:p>
    <w:sectPr w:rsidR="00B20E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A3EE4"/>
    <w:multiLevelType w:val="hybridMultilevel"/>
    <w:tmpl w:val="01601DDE"/>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2DB41EE4"/>
    <w:multiLevelType w:val="hybridMultilevel"/>
    <w:tmpl w:val="E8F0E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5D6265"/>
    <w:multiLevelType w:val="hybridMultilevel"/>
    <w:tmpl w:val="1FE0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93A"/>
    <w:rsid w:val="00014B33"/>
    <w:rsid w:val="0001793A"/>
    <w:rsid w:val="000F5EB7"/>
    <w:rsid w:val="001A3EDC"/>
    <w:rsid w:val="00252B78"/>
    <w:rsid w:val="00270FD5"/>
    <w:rsid w:val="002D38CD"/>
    <w:rsid w:val="00313777"/>
    <w:rsid w:val="003A2BD0"/>
    <w:rsid w:val="00505603"/>
    <w:rsid w:val="005C727C"/>
    <w:rsid w:val="00612129"/>
    <w:rsid w:val="00664F74"/>
    <w:rsid w:val="0078706B"/>
    <w:rsid w:val="008131E9"/>
    <w:rsid w:val="0087194C"/>
    <w:rsid w:val="008C73A7"/>
    <w:rsid w:val="009D47B5"/>
    <w:rsid w:val="009F61E6"/>
    <w:rsid w:val="00B02BA7"/>
    <w:rsid w:val="00B20EB1"/>
    <w:rsid w:val="00BE31C4"/>
    <w:rsid w:val="00D95911"/>
    <w:rsid w:val="00EF3E31"/>
    <w:rsid w:val="00F34324"/>
    <w:rsid w:val="00F65FC9"/>
    <w:rsid w:val="00F82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3187"/>
  <w15:chartTrackingRefBased/>
  <w15:docId w15:val="{4E7BBDBE-A7A7-4F23-9B5A-2E0D9C3CA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9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1623">
      <w:bodyDiv w:val="1"/>
      <w:marLeft w:val="0"/>
      <w:marRight w:val="0"/>
      <w:marTop w:val="0"/>
      <w:marBottom w:val="0"/>
      <w:divBdr>
        <w:top w:val="none" w:sz="0" w:space="0" w:color="auto"/>
        <w:left w:val="none" w:sz="0" w:space="0" w:color="auto"/>
        <w:bottom w:val="none" w:sz="0" w:space="0" w:color="auto"/>
        <w:right w:val="none" w:sz="0" w:space="0" w:color="auto"/>
      </w:divBdr>
    </w:div>
    <w:div w:id="38491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Georgana</dc:creator>
  <cp:keywords/>
  <dc:description/>
  <cp:lastModifiedBy>g.kartsanis@sargiapartners.com</cp:lastModifiedBy>
  <cp:revision>3</cp:revision>
  <dcterms:created xsi:type="dcterms:W3CDTF">2017-12-12T09:10:00Z</dcterms:created>
  <dcterms:modified xsi:type="dcterms:W3CDTF">2017-12-12T09:24:00Z</dcterms:modified>
</cp:coreProperties>
</file>