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TOKEN MAGIC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Token Magic is the premier marketing agency for ICO’s. Our experts will ensure that your ICO is run properly, communicated well, and achieves your desired outcomes.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 &amp; 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does it work?</w:t>
      </w:r>
    </w:p>
    <w:p w:rsidR="00000000" w:rsidDel="00000000" w:rsidP="00000000" w:rsidRDefault="00000000" w:rsidRPr="00000000">
      <w:pPr>
        <w:contextualSpacing w:val="0"/>
        <w:rPr/>
      </w:pPr>
      <w:r w:rsidDel="00000000" w:rsidR="00000000" w:rsidRPr="00000000">
        <w:rPr>
          <w:rtl w:val="0"/>
        </w:rPr>
        <w:t xml:space="preserve">Our tight-knit group of experts becomes a part of your team for the crucial period leading up to and during your ICO. We take the time to thoroughly understand your project and the people behind it. By drawing on our deep expertise in the space and network of valuable connections, we work closely with you to develop and implement the steps involved in executing a successful ICO. Best practices, market conditions, and investor psychology are constantly changing. We stay laser-focused on the ICO segment of the cryptocurrency landscape to stay up to date.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Bringing Token Magic in to run your sale allows your team members to focus on execution. Without the hassle, distraction, and frustration of trying to do it yourself, you have more bandwidth to build out your vision.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Who are you?</w:t>
      </w:r>
    </w:p>
    <w:p w:rsidR="00000000" w:rsidDel="00000000" w:rsidP="00000000" w:rsidRDefault="00000000" w:rsidRPr="00000000">
      <w:pPr>
        <w:contextualSpacing w:val="0"/>
        <w:rPr/>
      </w:pPr>
      <w:r w:rsidDel="00000000" w:rsidR="00000000" w:rsidRPr="00000000">
        <w:rPr>
          <w:rtl w:val="0"/>
        </w:rPr>
        <w:t xml:space="preserve">We are a group of global experts connected through a cutting edge Decentralized Organizational structure powered by Smart Contracts. We have no employees -- just owners. That is why your success is our shared mission.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much does it cost?</w:t>
      </w:r>
    </w:p>
    <w:p w:rsidR="00000000" w:rsidDel="00000000" w:rsidP="00000000" w:rsidRDefault="00000000" w:rsidRPr="00000000">
      <w:pPr>
        <w:contextualSpacing w:val="0"/>
        <w:rPr/>
      </w:pPr>
      <w:r w:rsidDel="00000000" w:rsidR="00000000" w:rsidRPr="00000000">
        <w:rPr>
          <w:rtl w:val="0"/>
        </w:rPr>
        <w:t xml:space="preserve">Every Token sale is unique, that is why Token Magic begins with a one-on-one conversation to identify your specific needs and agree upon terms that make sense for all parties. We structure engagements according to the principle of aligned interests - our success is your success and vice versa.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do I get started?</w:t>
      </w:r>
    </w:p>
    <w:p w:rsidR="00000000" w:rsidDel="00000000" w:rsidP="00000000" w:rsidRDefault="00000000" w:rsidRPr="00000000">
      <w:pPr>
        <w:contextualSpacing w:val="0"/>
        <w:rPr/>
      </w:pPr>
      <w:r w:rsidDel="00000000" w:rsidR="00000000" w:rsidRPr="00000000">
        <w:rPr>
          <w:rtl w:val="0"/>
        </w:rPr>
        <w:t xml:space="preserve">Contact us at </w:t>
      </w:r>
      <w:r w:rsidDel="00000000" w:rsidR="00000000" w:rsidRPr="00000000">
        <w:rPr>
          <w:highlight w:val="yellow"/>
          <w:rtl w:val="0"/>
        </w:rPr>
        <w:t xml:space="preserve">[insert contact info] </w:t>
      </w:r>
      <w:r w:rsidDel="00000000" w:rsidR="00000000" w:rsidRPr="00000000">
        <w:rPr>
          <w:rtl w:val="0"/>
        </w:rPr>
        <w:t xml:space="preserve">to connect directly with a Token Magic relationship leader to discuss your vision.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work with you from ensuring your whitepaper properly communicates your vision through ensuring the security of the last token sold in the ICO.  We will do this by employing our assets to ensure that your interests are secured all the way through the sale.  The means to accomplish your successful token sale will be done using some or all of the following: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we do:</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Whitepaper Consultation and Review</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Connections to the best legal and accounting practices depending on your situation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Token sale strategy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Raise amount and future token price strategy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KYC (Know Your Customer) strategies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Secure Token Launch Website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Marketing Representation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Social Media management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News and Press related strategies and execution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Multi-language translation and promotion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Access to our proprietary list of investors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Public Relations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Community Development &amp; Management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Bounty program development and management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High-touch individual sales for larger buyers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Organic grassroots promotion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