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TRUE BLUE BEYOND RESCUE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</w:t>
        <w:tab/>
        <w:t xml:space="preserve"> </w:t>
        <w:tab/>
        <w:tab/>
        <w:t xml:space="preserve"> </w:t>
        <w:tab/>
        <w:tab/>
        <w:t xml:space="preserve"> </w:t>
        <w:tab/>
        <w:t xml:space="preserve"> </w:t>
        <w:tab/>
        <w:t xml:space="preserve"> </w:t>
        <w:tab/>
        <w:tab/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primary purpose of our organization </w:t>
      </w:r>
      <w:r w:rsidDel="00000000" w:rsidR="00000000" w:rsidRPr="00000000">
        <w:rPr>
          <w:sz w:val="20"/>
          <w:szCs w:val="20"/>
          <w:rtl w:val="0"/>
        </w:rPr>
        <w:t xml:space="preserve">is to promote and provide the resources, education and programs needed to eliminate the killing of companion animals.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We are here to facilitate the rehoming of Bay Area dogs before they reach the shelter. We plan to accomplish this through education, community outreach, and spay &amp; neuter clinics.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Objectives: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To assist owners, by finding new homes for their dogs through the Rehoming Program, as an alternative to placing their dog in a public shelter or animal control facility.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From situations that are abusive, endangering or neglectful.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That are in danger of being euthanized at area shelters/pounds.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To provide training support, and advocate for responsible dog ownership.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To provide necessary veterinary care.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To place animals into permanent adoptive homes.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To educate and promote the importance of spaying/neutering.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To educate the public on how to help end animal cruelty.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