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3C0" w:rsidRPr="002213C0" w:rsidRDefault="002213C0" w:rsidP="002213C0">
      <w:pPr>
        <w:spacing w:after="0"/>
        <w:rPr>
          <w:b/>
          <w:bCs/>
          <w:sz w:val="24"/>
        </w:rPr>
      </w:pPr>
      <w:bookmarkStart w:id="0" w:name="_Hlk486408463"/>
      <w:bookmarkEnd w:id="0"/>
      <w:r w:rsidRPr="002213C0">
        <w:rPr>
          <w:b/>
          <w:bCs/>
          <w:sz w:val="24"/>
        </w:rPr>
        <w:t>Title:</w:t>
      </w:r>
    </w:p>
    <w:p w:rsidR="002213C0" w:rsidRDefault="002213C0" w:rsidP="002213C0">
      <w:pPr>
        <w:spacing w:after="0"/>
      </w:pPr>
      <w:r>
        <w:t xml:space="preserve">Expert Analysis of Why Hong Kong Real Estate Will Not Crash Like It Did in 1997 </w:t>
      </w:r>
    </w:p>
    <w:p w:rsidR="002213C0" w:rsidRDefault="002213C0" w:rsidP="002213C0">
      <w:pPr>
        <w:spacing w:after="0"/>
      </w:pPr>
    </w:p>
    <w:p w:rsidR="002213C0" w:rsidRPr="002213C0" w:rsidRDefault="002213C0" w:rsidP="002213C0">
      <w:pPr>
        <w:spacing w:after="0"/>
        <w:rPr>
          <w:b/>
          <w:bCs/>
          <w:sz w:val="24"/>
        </w:rPr>
      </w:pPr>
      <w:r w:rsidRPr="002213C0">
        <w:rPr>
          <w:b/>
          <w:bCs/>
          <w:sz w:val="24"/>
        </w:rPr>
        <w:t xml:space="preserve">Subtitle: </w:t>
      </w:r>
    </w:p>
    <w:p w:rsidR="002213C0" w:rsidRDefault="002213C0" w:rsidP="002213C0">
      <w:pPr>
        <w:spacing w:after="0"/>
      </w:pPr>
      <w:r>
        <w:t>Top 5 Differences between 1997 VS. NOW</w:t>
      </w:r>
    </w:p>
    <w:p w:rsidR="002213C0" w:rsidRDefault="002213C0" w:rsidP="002213C0">
      <w:pPr>
        <w:spacing w:after="0"/>
      </w:pPr>
    </w:p>
    <w:p w:rsidR="002213C0" w:rsidRDefault="002213C0" w:rsidP="002213C0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bookmarkStart w:id="1" w:name="_Hlk486408227"/>
      <w:r>
        <w:rPr>
          <w:rFonts w:eastAsia="Times New Roman"/>
          <w:b/>
          <w:bCs/>
        </w:rPr>
        <w:t>Buying has not reached frenzied levels</w:t>
      </w:r>
    </w:p>
    <w:p w:rsidR="002213C0" w:rsidRDefault="002213C0" w:rsidP="002213C0">
      <w:pPr>
        <w:spacing w:after="0"/>
        <w:ind w:firstLine="720"/>
      </w:pPr>
      <w:r>
        <w:t>Market activity remains close to historical averages</w:t>
      </w:r>
    </w:p>
    <w:p w:rsidR="002213C0" w:rsidRDefault="002213C0" w:rsidP="002213C0">
      <w:pPr>
        <w:numPr>
          <w:ilvl w:val="0"/>
          <w:numId w:val="2"/>
        </w:numPr>
        <w:spacing w:after="0"/>
        <w:ind w:left="1440"/>
        <w:contextualSpacing/>
        <w:rPr>
          <w:rFonts w:eastAsia="Times New Roman"/>
        </w:rPr>
      </w:pPr>
      <w:r>
        <w:rPr>
          <w:rFonts w:eastAsia="Times New Roman"/>
        </w:rPr>
        <w:t>15-year average (2002-2016) = 7,180 transactions/month</w:t>
      </w:r>
    </w:p>
    <w:p w:rsidR="002213C0" w:rsidRDefault="002213C0" w:rsidP="002213C0">
      <w:pPr>
        <w:numPr>
          <w:ilvl w:val="0"/>
          <w:numId w:val="2"/>
        </w:numPr>
        <w:spacing w:after="0"/>
        <w:ind w:left="1440"/>
        <w:contextualSpacing/>
        <w:rPr>
          <w:rFonts w:eastAsia="Times New Roman"/>
        </w:rPr>
      </w:pPr>
      <w:r>
        <w:rPr>
          <w:rFonts w:eastAsia="Times New Roman"/>
        </w:rPr>
        <w:t>10-year average (2007-2016) = 7,150 transactions/month</w:t>
      </w:r>
    </w:p>
    <w:p w:rsidR="002213C0" w:rsidRDefault="002213C0" w:rsidP="002213C0">
      <w:pPr>
        <w:spacing w:after="0"/>
        <w:ind w:left="720" w:firstLine="720"/>
      </w:pPr>
    </w:p>
    <w:p w:rsidR="002213C0" w:rsidRDefault="002213C0" w:rsidP="002213C0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Interest rates are far from risky </w:t>
      </w:r>
    </w:p>
    <w:p w:rsidR="002213C0" w:rsidRDefault="002213C0" w:rsidP="002213C0">
      <w:pPr>
        <w:ind w:left="720"/>
      </w:pPr>
      <w:r>
        <w:t>Hong Kong interest rates are approximately 3% (even lower than the 4-5% in most global economies). Going into the crash of 1997, interest rates were over 9%</w:t>
      </w:r>
    </w:p>
    <w:p w:rsidR="002213C0" w:rsidRDefault="002213C0" w:rsidP="002213C0">
      <w:pPr>
        <w:numPr>
          <w:ilvl w:val="0"/>
          <w:numId w:val="1"/>
        </w:numPr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Affordability – a tale of two cities</w:t>
      </w:r>
    </w:p>
    <w:p w:rsidR="002213C0" w:rsidRDefault="002213C0" w:rsidP="002213C0">
      <w:pPr>
        <w:autoSpaceDE w:val="0"/>
        <w:autoSpaceDN w:val="0"/>
        <w:spacing w:before="40" w:after="40" w:line="240" w:lineRule="auto"/>
        <w:ind w:left="720"/>
      </w:pPr>
      <w:r w:rsidRPr="002213C0">
        <w:rPr>
          <w:rFonts w:ascii="Segoe UI" w:hAnsi="Segoe UI" w:cs="Segoe UI"/>
          <w:color w:val="000000"/>
          <w:sz w:val="20"/>
          <w:szCs w:val="20"/>
          <w:lang w:eastAsia="zh-HK"/>
        </w:rPr>
        <w:t xml:space="preserve">The average property in HK requires 19 </w:t>
      </w:r>
      <w:r>
        <w:rPr>
          <w:rFonts w:ascii="Segoe UI" w:hAnsi="Segoe UI" w:cs="Segoe UI"/>
          <w:color w:val="000000"/>
          <w:sz w:val="20"/>
          <w:szCs w:val="20"/>
          <w:lang w:eastAsia="zh-HK"/>
        </w:rPr>
        <w:t>years of average income, almost</w:t>
      </w:r>
      <w:r w:rsidRPr="002213C0">
        <w:rPr>
          <w:rFonts w:ascii="Segoe UI" w:hAnsi="Segoe UI" w:cs="Segoe UI"/>
          <w:color w:val="000000"/>
          <w:sz w:val="20"/>
          <w:szCs w:val="20"/>
          <w:lang w:eastAsia="zh-HK"/>
        </w:rPr>
        <w:t xml:space="preserve"> double what it was in 1997. Properties are much less affordable to the average citizen. However, all is not equal, with a lot of pent up demand from people who have held back </w:t>
      </w:r>
      <w:proofErr w:type="gramStart"/>
      <w:r w:rsidRPr="002213C0">
        <w:rPr>
          <w:rFonts w:ascii="Segoe UI" w:hAnsi="Segoe UI" w:cs="Segoe UI"/>
          <w:color w:val="000000"/>
          <w:sz w:val="20"/>
          <w:szCs w:val="20"/>
          <w:lang w:eastAsia="zh-HK"/>
        </w:rPr>
        <w:t>as a result of</w:t>
      </w:r>
      <w:proofErr w:type="gramEnd"/>
      <w:r w:rsidRPr="002213C0">
        <w:rPr>
          <w:rFonts w:ascii="Segoe UI" w:hAnsi="Segoe UI" w:cs="Segoe UI"/>
          <w:color w:val="000000"/>
          <w:sz w:val="20"/>
          <w:szCs w:val="20"/>
          <w:lang w:eastAsia="zh-HK"/>
        </w:rPr>
        <w:t xml:space="preserve"> government measures and accumulated wealth on the sidelines. The rich have also gotten richer. </w:t>
      </w:r>
    </w:p>
    <w:p w:rsidR="002213C0" w:rsidRDefault="002213C0" w:rsidP="002213C0">
      <w:pPr>
        <w:autoSpaceDE w:val="0"/>
        <w:autoSpaceDN w:val="0"/>
        <w:spacing w:before="40" w:after="40" w:line="240" w:lineRule="auto"/>
      </w:pPr>
    </w:p>
    <w:p w:rsidR="002213C0" w:rsidRDefault="002213C0" w:rsidP="002213C0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Excess Debt?</w:t>
      </w:r>
    </w:p>
    <w:p w:rsidR="002213C0" w:rsidRDefault="002213C0" w:rsidP="002213C0">
      <w:pPr>
        <w:pStyle w:val="ListParagraph"/>
        <w:spacing w:after="0"/>
      </w:pPr>
      <w:r>
        <w:t>Housing crashes are almost always caused by overleveraging – people borrowing more than they could afford to support when buying a property.  The HKMA reported that Hong Kong’s average loan-to-value ratio is 51%, lower than the 64% before the cooling measures were introduced. Other global markets typically operate at LTV ratios of 70% or more, and may approach 100% before a housing crash</w:t>
      </w:r>
    </w:p>
    <w:p w:rsidR="002213C0" w:rsidRDefault="002213C0" w:rsidP="002213C0">
      <w:pPr>
        <w:pStyle w:val="ListParagraph"/>
        <w:spacing w:after="0"/>
      </w:pPr>
    </w:p>
    <w:p w:rsidR="002213C0" w:rsidRDefault="002213C0" w:rsidP="002213C0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China – the elephant in the property market </w:t>
      </w:r>
    </w:p>
    <w:p w:rsidR="002213C0" w:rsidRDefault="002213C0" w:rsidP="002213C0">
      <w:pPr>
        <w:pStyle w:val="ListParagraph"/>
        <w:spacing w:after="0"/>
      </w:pPr>
      <w:r>
        <w:t>China is perhaps the most important difference between 1997 and 2017.  At the time of the handover, China’s economy was just starting its meteoric rise with a GDP of just under US$1 trillion.  Over the next 20 years it would grow to over US$11 trillion. There remains tremendous room for mainland Chinese investors to invest in Hong Kong.  This did not exist in 1997.</w:t>
      </w:r>
    </w:p>
    <w:bookmarkEnd w:id="1"/>
    <w:p w:rsidR="002213C0" w:rsidRDefault="002213C0" w:rsidP="002213C0">
      <w:pPr>
        <w:pStyle w:val="ListParagraph"/>
        <w:spacing w:after="0"/>
      </w:pPr>
    </w:p>
    <w:p w:rsidR="002213C0" w:rsidRDefault="002213C0">
      <w:pPr>
        <w:rPr>
          <w:b/>
          <w:sz w:val="24"/>
        </w:rPr>
      </w:pPr>
      <w:r>
        <w:rPr>
          <w:b/>
          <w:sz w:val="24"/>
        </w:rPr>
        <w:t xml:space="preserve">Colors: </w:t>
      </w:r>
      <w:r w:rsidRPr="002213C0">
        <w:rPr>
          <w:sz w:val="24"/>
        </w:rPr>
        <w:t xml:space="preserve">See </w:t>
      </w:r>
      <w:r w:rsidR="000E2ED1">
        <w:rPr>
          <w:sz w:val="24"/>
        </w:rPr>
        <w:t xml:space="preserve">other attachment </w:t>
      </w:r>
      <w:r w:rsidRPr="002213C0">
        <w:rPr>
          <w:sz w:val="24"/>
        </w:rPr>
        <w:t>attached</w:t>
      </w:r>
      <w:r>
        <w:rPr>
          <w:b/>
          <w:sz w:val="24"/>
        </w:rPr>
        <w:t xml:space="preserve"> </w:t>
      </w:r>
    </w:p>
    <w:p w:rsidR="006B0394" w:rsidRDefault="006B0394">
      <w:pPr>
        <w:rPr>
          <w:b/>
          <w:sz w:val="24"/>
        </w:rPr>
      </w:pPr>
      <w:r>
        <w:rPr>
          <w:b/>
          <w:sz w:val="24"/>
        </w:rPr>
        <w:t>Size:</w:t>
      </w:r>
      <w:r w:rsidRPr="006B0394">
        <w:rPr>
          <w:sz w:val="24"/>
        </w:rPr>
        <w:t xml:space="preserve"> A4</w:t>
      </w:r>
    </w:p>
    <w:p w:rsidR="002213C0" w:rsidRDefault="002213C0">
      <w:pPr>
        <w:rPr>
          <w:b/>
          <w:sz w:val="24"/>
        </w:rPr>
      </w:pPr>
    </w:p>
    <w:p w:rsidR="002213C0" w:rsidRDefault="002213C0">
      <w:pPr>
        <w:rPr>
          <w:b/>
          <w:sz w:val="24"/>
        </w:rPr>
      </w:pPr>
    </w:p>
    <w:p w:rsidR="002213C0" w:rsidRDefault="002213C0">
      <w:pPr>
        <w:rPr>
          <w:b/>
          <w:sz w:val="24"/>
        </w:rPr>
      </w:pPr>
    </w:p>
    <w:p w:rsidR="006B0394" w:rsidRDefault="002213C0">
      <w:pPr>
        <w:rPr>
          <w:sz w:val="24"/>
        </w:rPr>
      </w:pPr>
      <w:bookmarkStart w:id="2" w:name="_GoBack"/>
      <w:bookmarkEnd w:id="2"/>
      <w:r>
        <w:rPr>
          <w:b/>
          <w:sz w:val="24"/>
        </w:rPr>
        <w:lastRenderedPageBreak/>
        <w:t>Design</w:t>
      </w:r>
      <w:r w:rsidR="000E2ED1">
        <w:rPr>
          <w:b/>
          <w:sz w:val="24"/>
        </w:rPr>
        <w:t xml:space="preserve">: </w:t>
      </w:r>
      <w:r w:rsidR="000E2ED1" w:rsidRPr="000E2ED1">
        <w:rPr>
          <w:sz w:val="24"/>
        </w:rPr>
        <w:t>Below are a few layouts that we like. T</w:t>
      </w:r>
      <w:r w:rsidR="006B0394">
        <w:rPr>
          <w:sz w:val="24"/>
        </w:rPr>
        <w:t xml:space="preserve">he icons may be a bit tricky since the topics are very ambiguous, but let me know if you need help! </w:t>
      </w:r>
    </w:p>
    <w:p w:rsidR="006B0394" w:rsidRDefault="006B0394">
      <w:pPr>
        <w:rPr>
          <w:sz w:val="24"/>
        </w:rPr>
      </w:pPr>
    </w:p>
    <w:p w:rsidR="006B0394" w:rsidRDefault="006B0394" w:rsidP="006B0394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638425" cy="3462932"/>
            <wp:effectExtent l="0" t="0" r="0" b="4445"/>
            <wp:docPr id="2" name="Picture 2" descr="C:\Users\diana.maliqi\AppData\Local\Microsoft\Windows\INetCache\Content.Word\Infographic_Desig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ana.maliqi\AppData\Local\Microsoft\Windows\INetCache\Content.Word\Infographic_Design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512" cy="346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94" w:rsidRDefault="006B0394" w:rsidP="006B0394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443EC73" wp14:editId="4CD2C8B3">
            <wp:extent cx="2952750" cy="2952750"/>
            <wp:effectExtent l="0" t="0" r="0" b="0"/>
            <wp:docPr id="3" name="Picture 3" descr="C:\Users\diana.maliqi\AppData\Local\Microsoft\Windows\INetCache\Content.Word\infographic_Desig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ana.maliqi\AppData\Local\Microsoft\Windows\INetCache\Content.Word\infographic_Design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94" w:rsidRDefault="006B0394">
      <w:pPr>
        <w:rPr>
          <w:sz w:val="24"/>
        </w:rPr>
      </w:pPr>
    </w:p>
    <w:p w:rsidR="006B0394" w:rsidRDefault="006B0394"/>
    <w:sectPr w:rsidR="006B03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629"/>
    <w:multiLevelType w:val="hybridMultilevel"/>
    <w:tmpl w:val="D81C32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8825A88"/>
    <w:multiLevelType w:val="hybridMultilevel"/>
    <w:tmpl w:val="F58C82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7047182"/>
    <w:multiLevelType w:val="hybridMultilevel"/>
    <w:tmpl w:val="EB9082D6"/>
    <w:lvl w:ilvl="0" w:tplc="50600A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FCF7F91"/>
    <w:multiLevelType w:val="hybridMultilevel"/>
    <w:tmpl w:val="E0B635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C0"/>
    <w:rsid w:val="000E2ED1"/>
    <w:rsid w:val="002213C0"/>
    <w:rsid w:val="006B0394"/>
    <w:rsid w:val="00983398"/>
    <w:rsid w:val="00DB5CCC"/>
    <w:rsid w:val="00E5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6295"/>
  <w15:chartTrackingRefBased/>
  <w15:docId w15:val="{65D13E01-9654-46ED-A34A-7D3C20F4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3C0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Maliqi</dc:creator>
  <cp:keywords/>
  <dc:description/>
  <cp:lastModifiedBy>Diana Maliqi</cp:lastModifiedBy>
  <cp:revision>2</cp:revision>
  <dcterms:created xsi:type="dcterms:W3CDTF">2017-06-27T10:14:00Z</dcterms:created>
  <dcterms:modified xsi:type="dcterms:W3CDTF">2017-06-28T02:20:00Z</dcterms:modified>
</cp:coreProperties>
</file>