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rPr>
          <w:b w:val="1"/>
          <w:u w:val="single"/>
        </w:rPr>
      </w:pPr>
      <w:r w:rsidDel="00000000" w:rsidR="00000000" w:rsidRPr="00000000">
        <w:rPr>
          <w:b w:val="1"/>
          <w:color w:val="333333"/>
          <w:sz w:val="20"/>
          <w:szCs w:val="20"/>
          <w:highlight w:val="white"/>
          <w:u w:val="single"/>
          <w:rtl w:val="0"/>
        </w:rPr>
        <w:t xml:space="preserve">Title:  IPG Rapidly Expands Course Offerings with </w:t>
      </w:r>
      <w:r w:rsidDel="00000000" w:rsidR="00000000" w:rsidRPr="00000000">
        <w:rPr>
          <w:b w:val="1"/>
          <w:u w:val="single"/>
          <w:rtl w:val="0"/>
        </w:rPr>
        <w:t xml:space="preserve">Thought Industries</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color w:val="333333"/>
          <w:sz w:val="24"/>
          <w:szCs w:val="24"/>
          <w:highlight w:val="white"/>
        </w:rPr>
      </w:pPr>
      <w:r w:rsidDel="00000000" w:rsidR="00000000" w:rsidRPr="00000000">
        <w:rPr>
          <w:i w:val="1"/>
          <w:rtl w:val="0"/>
        </w:rPr>
        <w:t xml:space="preserve">Summary: The </w:t>
      </w:r>
      <w:r w:rsidDel="00000000" w:rsidR="00000000" w:rsidRPr="00000000">
        <w:rPr>
          <w:i w:val="1"/>
          <w:rtl w:val="0"/>
        </w:rPr>
        <w:t xml:space="preserve">Independent Publishers Guild (IPG) chooses Thought Industries’ Learning Business Platform™ to deliver online learning exclusively to members via the IPG Skills Hub.</w:t>
      </w:r>
      <w:r w:rsidDel="00000000" w:rsidR="00000000" w:rsidRPr="00000000">
        <w:rPr>
          <w:rtl w:val="0"/>
        </w:rPr>
      </w:r>
    </w:p>
    <w:p w:rsidR="00000000" w:rsidDel="00000000" w:rsidP="00000000" w:rsidRDefault="00000000" w:rsidRPr="00000000">
      <w:pPr>
        <w:pBdr/>
        <w:contextualSpacing w:val="0"/>
        <w:rPr>
          <w:b w:val="1"/>
          <w:color w:val="333333"/>
          <w:sz w:val="24"/>
          <w:szCs w:val="24"/>
          <w:highlight w:val="white"/>
        </w:rPr>
      </w:pPr>
      <w:r w:rsidDel="00000000" w:rsidR="00000000" w:rsidRPr="00000000">
        <w:rPr>
          <w:rtl w:val="0"/>
        </w:rPr>
      </w:r>
    </w:p>
    <w:p w:rsidR="00000000" w:rsidDel="00000000" w:rsidP="00000000" w:rsidRDefault="00000000" w:rsidRPr="00000000">
      <w:pPr>
        <w:pStyle w:val="Heading3"/>
        <w:pBdr/>
        <w:contextualSpacing w:val="0"/>
        <w:rPr/>
      </w:pPr>
      <w:bookmarkStart w:colFirst="0" w:colLast="0" w:name="_wf2tv47pz58v" w:id="0"/>
      <w:bookmarkEnd w:id="0"/>
      <w:r w:rsidDel="00000000" w:rsidR="00000000" w:rsidRPr="00000000">
        <w:rPr>
          <w:rtl w:val="0"/>
        </w:rPr>
        <w:t xml:space="preserve">Overview</w:t>
      </w:r>
    </w:p>
    <w:p w:rsidR="00000000" w:rsidDel="00000000" w:rsidP="00000000" w:rsidRDefault="00000000" w:rsidRPr="00000000">
      <w:pPr>
        <w:pBdr/>
        <w:contextualSpacing w:val="0"/>
        <w:rPr>
          <w:color w:val="333333"/>
          <w:sz w:val="24"/>
          <w:szCs w:val="24"/>
          <w:highlight w:val="white"/>
        </w:rPr>
      </w:pPr>
      <w:r w:rsidDel="00000000" w:rsidR="00000000" w:rsidRPr="00000000">
        <w:rPr>
          <w:rtl w:val="0"/>
        </w:rPr>
      </w:r>
    </w:p>
    <w:p w:rsidR="00000000" w:rsidDel="00000000" w:rsidP="00000000" w:rsidRDefault="00000000" w:rsidRPr="00000000">
      <w:pPr>
        <w:pBdr/>
        <w:contextualSpacing w:val="0"/>
        <w:rPr>
          <w:color w:val="333333"/>
          <w:sz w:val="24"/>
          <w:szCs w:val="24"/>
          <w:highlight w:val="white"/>
        </w:rPr>
      </w:pPr>
      <w:r w:rsidDel="00000000" w:rsidR="00000000" w:rsidRPr="00000000">
        <w:rPr>
          <w:color w:val="333333"/>
          <w:sz w:val="24"/>
          <w:szCs w:val="24"/>
          <w:highlight w:val="white"/>
          <w:rtl w:val="0"/>
        </w:rPr>
        <w:t xml:space="preserve">The Independent Publishers Guild (</w:t>
      </w:r>
      <w:hyperlink r:id="rId5">
        <w:r w:rsidDel="00000000" w:rsidR="00000000" w:rsidRPr="00000000">
          <w:rPr>
            <w:color w:val="1155cc"/>
            <w:sz w:val="24"/>
            <w:szCs w:val="24"/>
            <w:highlight w:val="white"/>
            <w:u w:val="single"/>
            <w:rtl w:val="0"/>
          </w:rPr>
          <w:t xml:space="preserve">IPG</w:t>
        </w:r>
      </w:hyperlink>
      <w:r w:rsidDel="00000000" w:rsidR="00000000" w:rsidRPr="00000000">
        <w:rPr>
          <w:color w:val="333333"/>
          <w:sz w:val="24"/>
          <w:szCs w:val="24"/>
          <w:highlight w:val="white"/>
          <w:rtl w:val="0"/>
        </w:rPr>
        <w:t xml:space="preserve">), </w:t>
      </w:r>
      <w:r w:rsidDel="00000000" w:rsidR="00000000" w:rsidRPr="00000000">
        <w:rPr>
          <w:color w:val="333333"/>
          <w:sz w:val="24"/>
          <w:szCs w:val="24"/>
          <w:highlight w:val="white"/>
          <w:rtl w:val="0"/>
        </w:rPr>
        <w:t xml:space="preserve">the UK’s largest publishing trade association, recently launched their online learning environment, </w:t>
      </w:r>
      <w:hyperlink r:id="rId6">
        <w:r w:rsidDel="00000000" w:rsidR="00000000" w:rsidRPr="00000000">
          <w:rPr>
            <w:color w:val="1155cc"/>
            <w:sz w:val="24"/>
            <w:szCs w:val="24"/>
            <w:highlight w:val="white"/>
            <w:u w:val="single"/>
            <w:rtl w:val="0"/>
          </w:rPr>
          <w:t xml:space="preserve">IPG Skills Hub</w:t>
        </w:r>
      </w:hyperlink>
      <w:r w:rsidDel="00000000" w:rsidR="00000000" w:rsidRPr="00000000">
        <w:rPr>
          <w:color w:val="333333"/>
          <w:sz w:val="24"/>
          <w:szCs w:val="24"/>
          <w:highlight w:val="white"/>
          <w:rtl w:val="0"/>
        </w:rPr>
        <w:t xml:space="preserve">, using the Thought Industries’ Learning Business Platform™. </w:t>
      </w:r>
    </w:p>
    <w:p w:rsidR="00000000" w:rsidDel="00000000" w:rsidP="00000000" w:rsidRDefault="00000000" w:rsidRPr="00000000">
      <w:pPr>
        <w:pBdr/>
        <w:contextualSpacing w:val="0"/>
        <w:rPr>
          <w:color w:val="333333"/>
          <w:sz w:val="24"/>
          <w:szCs w:val="24"/>
          <w:highlight w:val="white"/>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As an organization, the IPG focuses on providing learning resources and events to a network of </w:t>
      </w:r>
      <w:r w:rsidDel="00000000" w:rsidR="00000000" w:rsidRPr="00000000">
        <w:rPr>
          <w:rtl w:val="0"/>
        </w:rPr>
        <w:t xml:space="preserve">hundreds</w:t>
      </w:r>
      <w:r w:rsidDel="00000000" w:rsidR="00000000" w:rsidRPr="00000000">
        <w:rPr>
          <w:rtl w:val="0"/>
        </w:rPr>
        <w:t xml:space="preserve"> of independent publishers at large, medium, or small publishing groups. Creating valuable learning resources for members has always been the IPG’s primary goal, but the organization is new to online learning. </w:t>
      </w:r>
      <w:hyperlink r:id="rId7">
        <w:r w:rsidDel="00000000" w:rsidR="00000000" w:rsidRPr="00000000">
          <w:rPr>
            <w:color w:val="1155cc"/>
            <w:u w:val="single"/>
            <w:rtl w:val="0"/>
          </w:rPr>
          <w:t xml:space="preserve">Clare Grist Taylor</w:t>
        </w:r>
      </w:hyperlink>
      <w:r w:rsidDel="00000000" w:rsidR="00000000" w:rsidRPr="00000000">
        <w:rPr>
          <w:rtl w:val="0"/>
        </w:rPr>
        <w:t xml:space="preserve">, publisher of the IPG Skills Hub, explains, “We see our online learning offering sitting somewhere between the informal work-based training that goes on in all publishing businesses all the time and more formal face-to-face, event-based training.”</w:t>
      </w:r>
    </w:p>
    <w:p w:rsidR="00000000" w:rsidDel="00000000" w:rsidP="00000000" w:rsidRDefault="00000000" w:rsidRPr="00000000">
      <w:pPr>
        <w:pStyle w:val="Heading3"/>
        <w:pBdr/>
        <w:contextualSpacing w:val="0"/>
        <w:rPr/>
      </w:pPr>
      <w:bookmarkStart w:colFirst="0" w:colLast="0" w:name="_enfroxcrxqa0" w:id="1"/>
      <w:bookmarkEnd w:id="1"/>
      <w:r w:rsidDel="00000000" w:rsidR="00000000" w:rsidRPr="00000000">
        <w:rPr>
          <w:rtl w:val="0"/>
        </w:rPr>
        <w:t xml:space="preserve">Creating Content for the IPG Skills Hub</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spacing w:after="300" w:lineRule="auto"/>
        <w:contextualSpacing w:val="0"/>
        <w:rPr>
          <w:color w:val="333333"/>
          <w:sz w:val="24"/>
          <w:szCs w:val="24"/>
          <w:highlight w:val="white"/>
        </w:rPr>
      </w:pPr>
      <w:r w:rsidDel="00000000" w:rsidR="00000000" w:rsidRPr="00000000">
        <w:rPr>
          <w:rtl w:val="0"/>
        </w:rPr>
        <w:t xml:space="preserve">After two months post-launch, the IPG has been able to collect stats via the platform suggesting that members are browsing the IPG Skills Hub and showing interest in a variety of courses.  In terms of delivery, the </w:t>
      </w:r>
      <w:r w:rsidDel="00000000" w:rsidR="00000000" w:rsidRPr="00000000">
        <w:rPr>
          <w:color w:val="333333"/>
          <w:sz w:val="24"/>
          <w:szCs w:val="24"/>
          <w:highlight w:val="white"/>
          <w:rtl w:val="0"/>
        </w:rPr>
        <w:t xml:space="preserve">IPG is committed to delivering one </w:t>
      </w:r>
      <w:hyperlink r:id="rId8">
        <w:r w:rsidDel="00000000" w:rsidR="00000000" w:rsidRPr="00000000">
          <w:rPr>
            <w:color w:val="1155cc"/>
            <w:sz w:val="24"/>
            <w:szCs w:val="24"/>
            <w:highlight w:val="white"/>
            <w:u w:val="single"/>
            <w:rtl w:val="0"/>
          </w:rPr>
          <w:t xml:space="preserve">Resources course</w:t>
        </w:r>
      </w:hyperlink>
      <w:r w:rsidDel="00000000" w:rsidR="00000000" w:rsidRPr="00000000">
        <w:rPr>
          <w:color w:val="333333"/>
          <w:sz w:val="24"/>
          <w:szCs w:val="24"/>
          <w:highlight w:val="white"/>
          <w:rtl w:val="0"/>
        </w:rPr>
        <w:t xml:space="preserve"> per week and one </w:t>
      </w:r>
      <w:hyperlink r:id="rId9">
        <w:r w:rsidDel="00000000" w:rsidR="00000000" w:rsidRPr="00000000">
          <w:rPr>
            <w:color w:val="1155cc"/>
            <w:sz w:val="24"/>
            <w:szCs w:val="24"/>
            <w:highlight w:val="white"/>
            <w:u w:val="single"/>
            <w:rtl w:val="0"/>
          </w:rPr>
          <w:t xml:space="preserve">Essentials</w:t>
        </w:r>
      </w:hyperlink>
      <w:hyperlink r:id="rId10">
        <w:r w:rsidDel="00000000" w:rsidR="00000000" w:rsidRPr="00000000">
          <w:rPr>
            <w:color w:val="1155cc"/>
            <w:sz w:val="24"/>
            <w:szCs w:val="24"/>
            <w:highlight w:val="white"/>
            <w:u w:val="single"/>
            <w:rtl w:val="0"/>
          </w:rPr>
          <w:t xml:space="preserve"> course</w:t>
        </w:r>
      </w:hyperlink>
      <w:r w:rsidDel="00000000" w:rsidR="00000000" w:rsidRPr="00000000">
        <w:rPr>
          <w:color w:val="333333"/>
          <w:sz w:val="24"/>
          <w:szCs w:val="24"/>
          <w:highlight w:val="white"/>
          <w:rtl w:val="0"/>
        </w:rPr>
        <w:t xml:space="preserve"> per month. Courses are free for </w:t>
      </w:r>
      <w:hyperlink r:id="rId11">
        <w:r w:rsidDel="00000000" w:rsidR="00000000" w:rsidRPr="00000000">
          <w:rPr>
            <w:color w:val="1155cc"/>
            <w:sz w:val="24"/>
            <w:szCs w:val="24"/>
            <w:highlight w:val="white"/>
            <w:u w:val="single"/>
            <w:rtl w:val="0"/>
          </w:rPr>
          <w:t xml:space="preserve">IPG members</w:t>
        </w:r>
      </w:hyperlink>
      <w:r w:rsidDel="00000000" w:rsidR="00000000" w:rsidRPr="00000000">
        <w:rPr>
          <w:color w:val="333333"/>
          <w:sz w:val="24"/>
          <w:szCs w:val="24"/>
          <w:highlight w:val="white"/>
          <w:rtl w:val="0"/>
        </w:rPr>
        <w:t xml:space="preserve">, but that monetization strategy might evolve down the road since Thought Industries offers powerful, integrated commerce capabilities. </w:t>
      </w:r>
    </w:p>
    <w:p w:rsidR="00000000" w:rsidDel="00000000" w:rsidP="00000000" w:rsidRDefault="00000000" w:rsidRPr="00000000">
      <w:pPr>
        <w:pBdr/>
        <w:spacing w:after="300" w:lineRule="auto"/>
        <w:contextualSpacing w:val="0"/>
        <w:rPr>
          <w:color w:val="333333"/>
          <w:sz w:val="24"/>
          <w:szCs w:val="24"/>
          <w:highlight w:val="white"/>
        </w:rPr>
      </w:pPr>
      <w:r w:rsidDel="00000000" w:rsidR="00000000" w:rsidRPr="00000000">
        <w:rPr>
          <w:color w:val="333333"/>
          <w:sz w:val="24"/>
          <w:szCs w:val="24"/>
          <w:highlight w:val="white"/>
          <w:rtl w:val="0"/>
        </w:rPr>
        <w:t xml:space="preserve">Content for each course is provided to the IPG for free by experts in the industry. As the publisher, Taylor collects these materials and publishes it to the IPG Skills Hub. In return, experts are added to the </w:t>
      </w:r>
      <w:hyperlink r:id="rId12">
        <w:r w:rsidDel="00000000" w:rsidR="00000000" w:rsidRPr="00000000">
          <w:rPr>
            <w:color w:val="1155cc"/>
            <w:sz w:val="24"/>
            <w:szCs w:val="24"/>
            <w:highlight w:val="white"/>
            <w:u w:val="single"/>
            <w:rtl w:val="0"/>
          </w:rPr>
          <w:t xml:space="preserve">IPG’s contributor page</w:t>
        </w:r>
      </w:hyperlink>
      <w:r w:rsidDel="00000000" w:rsidR="00000000" w:rsidRPr="00000000">
        <w:rPr>
          <w:color w:val="333333"/>
          <w:sz w:val="24"/>
          <w:szCs w:val="24"/>
          <w:highlight w:val="white"/>
          <w:rtl w:val="0"/>
        </w:rPr>
        <w:t xml:space="preserve">.</w:t>
      </w:r>
    </w:p>
    <w:p w:rsidR="00000000" w:rsidDel="00000000" w:rsidP="00000000" w:rsidRDefault="00000000" w:rsidRPr="00000000">
      <w:pPr>
        <w:pStyle w:val="Heading3"/>
        <w:pBdr/>
        <w:spacing w:after="300" w:lineRule="auto"/>
        <w:contextualSpacing w:val="0"/>
        <w:rPr/>
      </w:pPr>
      <w:bookmarkStart w:colFirst="0" w:colLast="0" w:name="_ahmgjsgp5ynd" w:id="2"/>
      <w:bookmarkEnd w:id="2"/>
      <w:r w:rsidDel="00000000" w:rsidR="00000000" w:rsidRPr="00000000">
        <w:rPr>
          <w:rtl w:val="0"/>
        </w:rPr>
        <w:t xml:space="preserve">Future of Learning at the IPG</w:t>
      </w:r>
    </w:p>
    <w:p w:rsidR="00000000" w:rsidDel="00000000" w:rsidP="00000000" w:rsidRDefault="00000000" w:rsidRPr="00000000">
      <w:pPr>
        <w:pBdr/>
        <w:spacing w:after="300" w:lineRule="auto"/>
        <w:contextualSpacing w:val="0"/>
        <w:rPr>
          <w:color w:val="333333"/>
          <w:sz w:val="24"/>
          <w:szCs w:val="24"/>
          <w:highlight w:val="white"/>
        </w:rPr>
      </w:pPr>
      <w:r w:rsidDel="00000000" w:rsidR="00000000" w:rsidRPr="00000000">
        <w:rPr>
          <w:color w:val="333333"/>
          <w:sz w:val="24"/>
          <w:szCs w:val="24"/>
          <w:highlight w:val="white"/>
          <w:rtl w:val="0"/>
        </w:rPr>
        <w:t xml:space="preserve">Right now, the IPG is using the platform to deliver text-based learning to its members. In the near future, the organization plans to utilize video and audio content authoring tools within the Thought Industries’ platform. </w:t>
      </w:r>
      <w:r w:rsidDel="00000000" w:rsidR="00000000" w:rsidRPr="00000000">
        <w:rPr>
          <w:rtl w:val="0"/>
        </w:rPr>
        <w:t xml:space="preserve">The IPG runs two large conferences per year and hopes to repurpose content from those -- and other events -- in the form of audio recording or annotated videos. This is a learning offering that Taylor views “more valuable than sending PowerPoint presentations out after an event or conference.”</w:t>
      </w:r>
      <w:r w:rsidDel="00000000" w:rsidR="00000000" w:rsidRPr="00000000">
        <w:rPr>
          <w:rtl w:val="0"/>
        </w:rPr>
      </w:r>
    </w:p>
    <w:p w:rsidR="00000000" w:rsidDel="00000000" w:rsidP="00000000" w:rsidRDefault="00000000" w:rsidRPr="00000000">
      <w:pPr>
        <w:pBdr/>
        <w:spacing w:after="300" w:lineRule="auto"/>
        <w:contextualSpacing w:val="0"/>
        <w:rPr>
          <w:color w:val="333333"/>
          <w:sz w:val="24"/>
          <w:szCs w:val="24"/>
          <w:highlight w:val="white"/>
        </w:rPr>
      </w:pPr>
      <w:r w:rsidDel="00000000" w:rsidR="00000000" w:rsidRPr="00000000">
        <w:rPr>
          <w:color w:val="333333"/>
          <w:sz w:val="24"/>
          <w:szCs w:val="24"/>
          <w:highlight w:val="white"/>
          <w:rtl w:val="0"/>
        </w:rPr>
        <w:t xml:space="preserve">Courses cover subjects like business strategy, data, information technology, editorial, marketing, publicity, personal development, print, production, publishing strategy, copyright, sales, and distribute. The list will continue to grow based on industry needs and member requests. </w:t>
      </w:r>
    </w:p>
    <w:p w:rsidR="00000000" w:rsidDel="00000000" w:rsidP="00000000" w:rsidRDefault="00000000" w:rsidRPr="00000000">
      <w:pPr>
        <w:pBd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hyperlink" Target="http://www.ipg.uk.com/join-the-ipg" TargetMode="External"/><Relationship Id="rId10" Type="http://schemas.openxmlformats.org/officeDocument/2006/relationships/hyperlink" Target="https://www.ipgskillshub.com/catalog?labels=%5B%22Course%2Fresource%20by%20type%22%5D&amp;values=%5B%22Essentials%22%5D" TargetMode="External"/><Relationship Id="rId12" Type="http://schemas.openxmlformats.org/officeDocument/2006/relationships/hyperlink" Target="https://www.ipgskillshub.com/pages/skills-hub-contributors" TargetMode="External"/><Relationship Id="rId9" Type="http://schemas.openxmlformats.org/officeDocument/2006/relationships/hyperlink" Target="https://www.ipgskillshub.com/catalog?labels=%5B%22Course%2Fresource%20by%20type%22%5D&amp;values=%5B%22Essentials%22%5D" TargetMode="External"/><Relationship Id="rId5" Type="http://schemas.openxmlformats.org/officeDocument/2006/relationships/hyperlink" Target="http://www.ipg.uk.com/about" TargetMode="External"/><Relationship Id="rId6" Type="http://schemas.openxmlformats.org/officeDocument/2006/relationships/hyperlink" Target="https://www.ipgskillshub.com/pages/about-the-ipg-skills-hub" TargetMode="External"/><Relationship Id="rId7" Type="http://schemas.openxmlformats.org/officeDocument/2006/relationships/hyperlink" Target="https://www.linkedin.com/in/claregristtaylor/" TargetMode="External"/><Relationship Id="rId8" Type="http://schemas.openxmlformats.org/officeDocument/2006/relationships/hyperlink" Target="https://www.ipgskillshub.com/catalog?labels=%5B%22Course%2Fresource%20by%20type%22%5D&amp;values=%5B%22All%20resources%22%5D" TargetMode="External"/></Relationships>
</file>