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96A98" w14:textId="0D909AFA" w:rsidR="006E55DC" w:rsidRPr="00A42B0B" w:rsidRDefault="006E55DC" w:rsidP="000557B3">
      <w:pPr>
        <w:spacing w:after="160"/>
        <w:rPr>
          <w:rFonts w:eastAsia="MS PGothic" w:cs="Times New Roman"/>
          <w:color w:val="000000"/>
          <w:kern w:val="24"/>
        </w:rPr>
      </w:pPr>
      <w:bookmarkStart w:id="0" w:name="_GoBack"/>
      <w:bookmarkEnd w:id="0"/>
      <w:r>
        <w:rPr>
          <w:rFonts w:eastAsia="MS PGothic" w:cs="Times New Roman"/>
          <w:b/>
          <w:color w:val="000000"/>
          <w:kern w:val="24"/>
        </w:rPr>
        <w:t>Problem Statement:</w:t>
      </w:r>
      <w:r w:rsidRPr="00A42B0B">
        <w:rPr>
          <w:rFonts w:eastAsia="MS PGothic" w:cs="Times New Roman"/>
          <w:color w:val="000000"/>
          <w:kern w:val="24"/>
        </w:rPr>
        <w:t xml:space="preserve"> </w:t>
      </w:r>
    </w:p>
    <w:p w14:paraId="30C65D16" w14:textId="6B55EFED" w:rsidR="00D52134" w:rsidRDefault="00D95DF2" w:rsidP="000557B3">
      <w:pPr>
        <w:rPr>
          <w:rFonts w:eastAsia="Cambria" w:cs="Times New Roman"/>
          <w:noProof/>
        </w:rPr>
      </w:pPr>
      <w:r>
        <w:rPr>
          <w:rFonts w:eastAsia="Cambria" w:cs="Times New Roman"/>
          <w:noProof/>
        </w:rPr>
        <w:t>In</w:t>
      </w:r>
      <w:r w:rsidRPr="008E56DD">
        <w:rPr>
          <w:rFonts w:eastAsia="Cambria" w:cs="Times New Roman"/>
          <w:noProof/>
        </w:rPr>
        <w:t>creasingly complex markets, low commodity prices and more varia</w:t>
      </w:r>
      <w:r>
        <w:rPr>
          <w:rFonts w:eastAsia="Cambria" w:cs="Times New Roman"/>
          <w:noProof/>
        </w:rPr>
        <w:t>ble and unpredictable weather are</w:t>
      </w:r>
      <w:r w:rsidRPr="008E56DD">
        <w:rPr>
          <w:rFonts w:eastAsia="Cambria" w:cs="Times New Roman"/>
          <w:noProof/>
        </w:rPr>
        <w:t xml:space="preserve"> contributing to crop loses and degraded environmental conditions, including harmful algal blooms, </w:t>
      </w:r>
      <w:r>
        <w:rPr>
          <w:rFonts w:eastAsia="Cambria" w:cs="Times New Roman"/>
          <w:noProof/>
        </w:rPr>
        <w:t xml:space="preserve">that </w:t>
      </w:r>
      <w:r w:rsidRPr="008E56DD">
        <w:rPr>
          <w:rFonts w:eastAsia="Cambria" w:cs="Times New Roman"/>
          <w:noProof/>
        </w:rPr>
        <w:t>have combined to create problems and elevate r</w:t>
      </w:r>
      <w:r>
        <w:rPr>
          <w:rFonts w:eastAsia="Cambria" w:cs="Times New Roman"/>
          <w:noProof/>
        </w:rPr>
        <w:t>isks for Ohio agriculture. At the same time</w:t>
      </w:r>
      <w:r w:rsidRPr="008E56DD">
        <w:rPr>
          <w:rFonts w:eastAsia="Cambria" w:cs="Times New Roman"/>
          <w:noProof/>
        </w:rPr>
        <w:t xml:space="preserve">, household food insecurity in Ohio, a state that should be a land of plenty, ranks well </w:t>
      </w:r>
      <w:r>
        <w:rPr>
          <w:rFonts w:eastAsia="Cambria" w:cs="Times New Roman"/>
          <w:noProof/>
        </w:rPr>
        <w:t>above</w:t>
      </w:r>
      <w:r w:rsidRPr="008E56DD">
        <w:rPr>
          <w:rFonts w:eastAsia="Cambria" w:cs="Times New Roman"/>
          <w:noProof/>
        </w:rPr>
        <w:t xml:space="preserve"> the national average (16.1% of the population </w:t>
      </w:r>
      <w:r>
        <w:rPr>
          <w:rFonts w:eastAsia="Cambria" w:cs="Times New Roman"/>
          <w:noProof/>
        </w:rPr>
        <w:t xml:space="preserve">of Ohio </w:t>
      </w:r>
      <w:r w:rsidRPr="008E56DD">
        <w:rPr>
          <w:rFonts w:eastAsia="Cambria" w:cs="Times New Roman"/>
          <w:noProof/>
        </w:rPr>
        <w:t>including one in four children suffer from food insecurity)</w:t>
      </w:r>
      <w:r>
        <w:rPr>
          <w:rFonts w:eastAsia="Cambria" w:cs="Times New Roman"/>
          <w:noProof/>
        </w:rPr>
        <w:t>.</w:t>
      </w:r>
      <w:r w:rsidRPr="008E56DD">
        <w:rPr>
          <w:rFonts w:eastAsia="Cambria" w:cs="Times New Roman"/>
          <w:noProof/>
        </w:rPr>
        <w:t xml:space="preserve"> </w:t>
      </w:r>
      <w:r>
        <w:rPr>
          <w:rFonts w:eastAsia="Cambria" w:cs="Times New Roman"/>
          <w:noProof/>
        </w:rPr>
        <w:t>Clearly t</w:t>
      </w:r>
      <w:r w:rsidRPr="008E56DD">
        <w:rPr>
          <w:rFonts w:eastAsia="Cambria" w:cs="Times New Roman"/>
          <w:noProof/>
        </w:rPr>
        <w:t>he commodities we are so good at producing</w:t>
      </w:r>
      <w:r>
        <w:rPr>
          <w:rFonts w:eastAsia="Cambria" w:cs="Times New Roman"/>
          <w:noProof/>
        </w:rPr>
        <w:t>,</w:t>
      </w:r>
      <w:r w:rsidRPr="008E56DD">
        <w:rPr>
          <w:rFonts w:eastAsia="Cambria" w:cs="Times New Roman"/>
          <w:noProof/>
        </w:rPr>
        <w:t xml:space="preserve"> are not</w:t>
      </w:r>
      <w:r>
        <w:rPr>
          <w:rFonts w:eastAsia="Cambria" w:cs="Times New Roman"/>
          <w:noProof/>
        </w:rPr>
        <w:t xml:space="preserve"> relieving that insecurity, nor are they keeping all</w:t>
      </w:r>
      <w:r w:rsidRPr="008E56DD">
        <w:rPr>
          <w:rFonts w:eastAsia="Cambria" w:cs="Times New Roman"/>
          <w:noProof/>
        </w:rPr>
        <w:t xml:space="preserve"> farms and farmers on the land</w:t>
      </w:r>
      <w:r>
        <w:rPr>
          <w:rFonts w:eastAsia="Cambria" w:cs="Times New Roman"/>
          <w:noProof/>
        </w:rPr>
        <w:t>.</w:t>
      </w:r>
    </w:p>
    <w:p w14:paraId="45F1070B" w14:textId="70EDA47C" w:rsidR="00D52134" w:rsidRPr="00A42B0B" w:rsidRDefault="00A42B0B" w:rsidP="000557B3">
      <w:pPr>
        <w:jc w:val="center"/>
        <w:rPr>
          <w:rFonts w:eastAsia="Cambria" w:cs="Times New Roman"/>
          <w:b/>
          <w:noProof/>
          <w:sz w:val="20"/>
          <w:szCs w:val="20"/>
          <w:u w:val="single"/>
        </w:rPr>
      </w:pPr>
      <w:r w:rsidRPr="007F2986">
        <w:rPr>
          <w:rFonts w:eastAsia="Cambria" w:cs="Times New Roman"/>
          <w:noProof/>
        </w:rPr>
        <w:drawing>
          <wp:anchor distT="0" distB="0" distL="114300" distR="114300" simplePos="0" relativeHeight="251656192" behindDoc="0" locked="0" layoutInCell="1" allowOverlap="1" wp14:anchorId="7D8DC0DC" wp14:editId="0FF079D1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4572000" cy="30073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F0FB9" w14:textId="27F0FCA8" w:rsidR="00334139" w:rsidRPr="009E5DAD" w:rsidRDefault="00A42B0B" w:rsidP="009E5DAD">
      <w:pPr>
        <w:jc w:val="center"/>
        <w:rPr>
          <w:rFonts w:cs="Times New Roman"/>
          <w:sz w:val="32"/>
          <w:szCs w:val="32"/>
          <w:u w:val="single"/>
        </w:rPr>
      </w:pPr>
      <w:r w:rsidRPr="00351C9C">
        <w:rPr>
          <w:rFonts w:eastAsia="Cambria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02B252" wp14:editId="7125978C">
                <wp:simplePos x="0" y="0"/>
                <wp:positionH relativeFrom="margin">
                  <wp:posOffset>12798</wp:posOffset>
                </wp:positionH>
                <wp:positionV relativeFrom="paragraph">
                  <wp:posOffset>3028400</wp:posOffset>
                </wp:positionV>
                <wp:extent cx="5943600" cy="235585"/>
                <wp:effectExtent l="0" t="0" r="0" b="0"/>
                <wp:wrapTight wrapText="bothSides">
                  <wp:wrapPolygon edited="0">
                    <wp:start x="92" y="0"/>
                    <wp:lineTo x="92" y="18631"/>
                    <wp:lineTo x="21415" y="18631"/>
                    <wp:lineTo x="21415" y="0"/>
                    <wp:lineTo x="92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4FC7F" w14:textId="77777777" w:rsidR="000607F3" w:rsidRPr="00A421A5" w:rsidRDefault="000607F3" w:rsidP="00A42B0B">
                            <w:pPr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351C9C">
                              <w:rPr>
                                <w:rFonts w:cs="Times New Roman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 Source:</w:t>
                            </w:r>
                            <w:r w:rsidRPr="00A421A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2015 ERS report, </w:t>
                            </w:r>
                            <w:hyperlink r:id="rId8" w:history="1">
                              <w:r w:rsidRPr="00A421A5">
                                <w:rPr>
                                  <w:rStyle w:val="Hyperlink"/>
                                  <w:rFonts w:cs="Times New Roman"/>
                                  <w:i/>
                                  <w:sz w:val="20"/>
                                  <w:szCs w:val="20"/>
                                </w:rPr>
                                <w:t>Household Food Security in the United States in 2015</w:t>
                              </w:r>
                            </w:hyperlink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D02B25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238.45pt;width:468pt;height:18.55pt;z-index:251756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" filled="f" stroked="f">
                <v:textbox>
                  <w:txbxContent>
                    <w:p w14:paraId="44D4FC7F" w14:textId="77777777" w:rsidR="000607F3" w:rsidRPr="00A421A5" w:rsidRDefault="000607F3" w:rsidP="00A42B0B">
                      <w:pPr>
                        <w:ind w:left="180" w:hanging="180"/>
                        <w:rPr>
                          <w:sz w:val="20"/>
                          <w:szCs w:val="20"/>
                        </w:rPr>
                      </w:pPr>
                      <w:r w:rsidRPr="00351C9C">
                        <w:rPr>
                          <w:rFonts w:cs="Times New Roman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 Source:</w:t>
                      </w:r>
                      <w:r w:rsidRPr="00A421A5">
                        <w:rPr>
                          <w:rFonts w:cs="Times New Roman"/>
                          <w:sz w:val="20"/>
                          <w:szCs w:val="20"/>
                        </w:rPr>
                        <w:t xml:space="preserve"> 2015 ERS report, </w:t>
                      </w:r>
                      <w:hyperlink r:id="rId10" w:history="1">
                        <w:r w:rsidRPr="00A421A5">
                          <w:rPr>
                            <w:rStyle w:val="Hyperlink"/>
                            <w:rFonts w:cs="Times New Roman"/>
                            <w:i/>
                            <w:sz w:val="20"/>
                            <w:szCs w:val="20"/>
                          </w:rPr>
                          <w:t>Household Food Security in the United States in 2015</w:t>
                        </w:r>
                      </w:hyperlink>
                      <w:r>
                        <w:rPr>
                          <w:rFonts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52134">
        <w:rPr>
          <w:rFonts w:eastAsia="Cambria" w:cs="Times New Roman"/>
          <w:noProof/>
          <w:sz w:val="32"/>
          <w:szCs w:val="32"/>
        </w:rPr>
        <w:drawing>
          <wp:anchor distT="0" distB="0" distL="114300" distR="114300" simplePos="0" relativeHeight="251752448" behindDoc="0" locked="0" layoutInCell="1" allowOverlap="1" wp14:anchorId="473365B9" wp14:editId="43B6FA08">
            <wp:simplePos x="0" y="0"/>
            <wp:positionH relativeFrom="margin">
              <wp:align>center</wp:align>
            </wp:positionH>
            <wp:positionV relativeFrom="paragraph">
              <wp:posOffset>370840</wp:posOffset>
            </wp:positionV>
            <wp:extent cx="4572000" cy="2666854"/>
            <wp:effectExtent l="0" t="0" r="0" b="635"/>
            <wp:wrapTopAndBottom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6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2134" w:rsidRPr="00D52134">
        <w:rPr>
          <w:rFonts w:eastAsia="Cambria" w:cs="Times New Roman"/>
          <w:b/>
          <w:noProof/>
          <w:sz w:val="32"/>
          <w:szCs w:val="32"/>
          <w:u w:val="single"/>
        </w:rPr>
        <w:t>Solutions from the Land</w:t>
      </w:r>
    </w:p>
    <w:sectPr w:rsidR="00334139" w:rsidRPr="009E5DAD" w:rsidSect="00D606D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E60E" w14:textId="77777777" w:rsidR="00A07A04" w:rsidRDefault="00A07A04" w:rsidP="008966F1">
      <w:r>
        <w:separator/>
      </w:r>
    </w:p>
  </w:endnote>
  <w:endnote w:type="continuationSeparator" w:id="0">
    <w:p w14:paraId="393EAF91" w14:textId="77777777" w:rsidR="00A07A04" w:rsidRDefault="00A07A04" w:rsidP="0089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997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6ACDE" w14:textId="3311948D" w:rsidR="000607F3" w:rsidRDefault="000607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D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72862E" w14:textId="77777777" w:rsidR="000607F3" w:rsidRDefault="00060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86132" w14:textId="77777777" w:rsidR="00A07A04" w:rsidRDefault="00A07A04" w:rsidP="008966F1">
      <w:r>
        <w:separator/>
      </w:r>
    </w:p>
  </w:footnote>
  <w:footnote w:type="continuationSeparator" w:id="0">
    <w:p w14:paraId="4BE9C60A" w14:textId="77777777" w:rsidR="00A07A04" w:rsidRDefault="00A07A04" w:rsidP="0089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0943" w14:textId="7D6DE55A" w:rsidR="000607F3" w:rsidRDefault="000607F3">
    <w:pPr>
      <w:pStyle w:val="Header"/>
    </w:pPr>
  </w:p>
  <w:p w14:paraId="77B3D814" w14:textId="77777777" w:rsidR="000607F3" w:rsidRDefault="00060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410"/>
    <w:multiLevelType w:val="hybridMultilevel"/>
    <w:tmpl w:val="AFB0619A"/>
    <w:lvl w:ilvl="0" w:tplc="C9D47114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44BC"/>
    <w:multiLevelType w:val="hybridMultilevel"/>
    <w:tmpl w:val="266A2832"/>
    <w:lvl w:ilvl="0" w:tplc="C91E36E2">
      <w:numFmt w:val="bullet"/>
      <w:lvlText w:val="•"/>
      <w:lvlJc w:val="left"/>
      <w:pPr>
        <w:ind w:left="7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1610E2"/>
    <w:multiLevelType w:val="hybridMultilevel"/>
    <w:tmpl w:val="D02CE684"/>
    <w:lvl w:ilvl="0" w:tplc="C91E36E2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D2E"/>
    <w:multiLevelType w:val="hybridMultilevel"/>
    <w:tmpl w:val="5AA01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54AEF"/>
    <w:multiLevelType w:val="hybridMultilevel"/>
    <w:tmpl w:val="3E42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500"/>
    <w:multiLevelType w:val="hybridMultilevel"/>
    <w:tmpl w:val="5232A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C6A9D"/>
    <w:multiLevelType w:val="hybridMultilevel"/>
    <w:tmpl w:val="CCD0C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63676"/>
    <w:multiLevelType w:val="hybridMultilevel"/>
    <w:tmpl w:val="A14E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B1"/>
    <w:rsid w:val="00020E01"/>
    <w:rsid w:val="000557B3"/>
    <w:rsid w:val="000607F3"/>
    <w:rsid w:val="00070DBF"/>
    <w:rsid w:val="0009187A"/>
    <w:rsid w:val="000925DB"/>
    <w:rsid w:val="000D58CE"/>
    <w:rsid w:val="000E6845"/>
    <w:rsid w:val="000E7AB8"/>
    <w:rsid w:val="00140BF1"/>
    <w:rsid w:val="001537CA"/>
    <w:rsid w:val="0017056B"/>
    <w:rsid w:val="00170E26"/>
    <w:rsid w:val="00175943"/>
    <w:rsid w:val="0018464F"/>
    <w:rsid w:val="00184F71"/>
    <w:rsid w:val="001B160E"/>
    <w:rsid w:val="001B7D3F"/>
    <w:rsid w:val="00214207"/>
    <w:rsid w:val="00245735"/>
    <w:rsid w:val="00252C22"/>
    <w:rsid w:val="002B28C1"/>
    <w:rsid w:val="002B2E4B"/>
    <w:rsid w:val="002C3089"/>
    <w:rsid w:val="00334139"/>
    <w:rsid w:val="00341344"/>
    <w:rsid w:val="003438C5"/>
    <w:rsid w:val="003540EC"/>
    <w:rsid w:val="00371300"/>
    <w:rsid w:val="00382EFF"/>
    <w:rsid w:val="00384811"/>
    <w:rsid w:val="003D39B8"/>
    <w:rsid w:val="003F20FC"/>
    <w:rsid w:val="004552F9"/>
    <w:rsid w:val="00470627"/>
    <w:rsid w:val="004722F9"/>
    <w:rsid w:val="004844B1"/>
    <w:rsid w:val="00495B90"/>
    <w:rsid w:val="004B5EB2"/>
    <w:rsid w:val="004D2C5B"/>
    <w:rsid w:val="004D3FBF"/>
    <w:rsid w:val="004D718B"/>
    <w:rsid w:val="004E3014"/>
    <w:rsid w:val="004F5BEF"/>
    <w:rsid w:val="004F7F3C"/>
    <w:rsid w:val="0050129B"/>
    <w:rsid w:val="0050218B"/>
    <w:rsid w:val="00504BC4"/>
    <w:rsid w:val="00530139"/>
    <w:rsid w:val="0053013E"/>
    <w:rsid w:val="005845BC"/>
    <w:rsid w:val="005979EF"/>
    <w:rsid w:val="005A409C"/>
    <w:rsid w:val="005D04E7"/>
    <w:rsid w:val="005E3992"/>
    <w:rsid w:val="005E4547"/>
    <w:rsid w:val="00630DBF"/>
    <w:rsid w:val="006945B4"/>
    <w:rsid w:val="00694F4D"/>
    <w:rsid w:val="006C7D24"/>
    <w:rsid w:val="006E55DC"/>
    <w:rsid w:val="0070356C"/>
    <w:rsid w:val="00721513"/>
    <w:rsid w:val="007351AE"/>
    <w:rsid w:val="00745BCC"/>
    <w:rsid w:val="00773A6D"/>
    <w:rsid w:val="00782F30"/>
    <w:rsid w:val="007847FF"/>
    <w:rsid w:val="00792211"/>
    <w:rsid w:val="007E0C0E"/>
    <w:rsid w:val="007E0C14"/>
    <w:rsid w:val="007E205A"/>
    <w:rsid w:val="007F2986"/>
    <w:rsid w:val="00800C4D"/>
    <w:rsid w:val="00810DC2"/>
    <w:rsid w:val="008137DD"/>
    <w:rsid w:val="008364E2"/>
    <w:rsid w:val="008919C3"/>
    <w:rsid w:val="008966F1"/>
    <w:rsid w:val="008C5EAE"/>
    <w:rsid w:val="00966D19"/>
    <w:rsid w:val="009902CF"/>
    <w:rsid w:val="009B5B78"/>
    <w:rsid w:val="009E5DAD"/>
    <w:rsid w:val="00A07A04"/>
    <w:rsid w:val="00A1489E"/>
    <w:rsid w:val="00A42B0B"/>
    <w:rsid w:val="00A82700"/>
    <w:rsid w:val="00AB5E83"/>
    <w:rsid w:val="00AC07C9"/>
    <w:rsid w:val="00B36443"/>
    <w:rsid w:val="00B66EC2"/>
    <w:rsid w:val="00B81FFB"/>
    <w:rsid w:val="00B82786"/>
    <w:rsid w:val="00BA15CC"/>
    <w:rsid w:val="00BB78BD"/>
    <w:rsid w:val="00BC0FE3"/>
    <w:rsid w:val="00BD2BA0"/>
    <w:rsid w:val="00BF6D2B"/>
    <w:rsid w:val="00C47731"/>
    <w:rsid w:val="00C90B05"/>
    <w:rsid w:val="00CA0B30"/>
    <w:rsid w:val="00CC177E"/>
    <w:rsid w:val="00CD4F30"/>
    <w:rsid w:val="00CE020B"/>
    <w:rsid w:val="00CE7D27"/>
    <w:rsid w:val="00D1134F"/>
    <w:rsid w:val="00D32378"/>
    <w:rsid w:val="00D422E9"/>
    <w:rsid w:val="00D52134"/>
    <w:rsid w:val="00D606DD"/>
    <w:rsid w:val="00D620F5"/>
    <w:rsid w:val="00D95DF2"/>
    <w:rsid w:val="00DA7CF7"/>
    <w:rsid w:val="00DB3EA6"/>
    <w:rsid w:val="00DC4699"/>
    <w:rsid w:val="00DD774B"/>
    <w:rsid w:val="00DF4109"/>
    <w:rsid w:val="00E12CEF"/>
    <w:rsid w:val="00E21007"/>
    <w:rsid w:val="00E4375D"/>
    <w:rsid w:val="00E4724B"/>
    <w:rsid w:val="00E517BC"/>
    <w:rsid w:val="00EA5069"/>
    <w:rsid w:val="00EB748E"/>
    <w:rsid w:val="00F01F13"/>
    <w:rsid w:val="00F51139"/>
    <w:rsid w:val="00F60C9A"/>
    <w:rsid w:val="00F6695B"/>
    <w:rsid w:val="00F7771B"/>
    <w:rsid w:val="00F86BF4"/>
    <w:rsid w:val="00FF290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A9E1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1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986"/>
    <w:pPr>
      <w:ind w:left="720"/>
      <w:contextualSpacing/>
    </w:pPr>
  </w:style>
  <w:style w:type="table" w:styleId="TableGrid">
    <w:name w:val="Table Grid"/>
    <w:basedOn w:val="TableNormal"/>
    <w:rsid w:val="007F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9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6F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89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6F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DC46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69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rsid w:val="00DC4699"/>
    <w:rPr>
      <w:sz w:val="18"/>
      <w:szCs w:val="18"/>
    </w:rPr>
  </w:style>
  <w:style w:type="paragraph" w:styleId="CommentText">
    <w:name w:val="annotation text"/>
    <w:basedOn w:val="Normal"/>
    <w:link w:val="CommentTextChar"/>
    <w:rsid w:val="00DC4699"/>
  </w:style>
  <w:style w:type="character" w:customStyle="1" w:styleId="CommentTextChar">
    <w:name w:val="Comment Text Char"/>
    <w:basedOn w:val="DefaultParagraphFont"/>
    <w:link w:val="CommentText"/>
    <w:rsid w:val="00DC469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C46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C4699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2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4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3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8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9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0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s.usda.gov/webdocs/publications/err215/err-215.pdf?v=4263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rs.usda.gov/webdocs/publications/err215/err-215.pdf?v=42636" TargetMode="Externa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Gilbert</dc:creator>
  <cp:lastModifiedBy>Latham, Angela</cp:lastModifiedBy>
  <cp:revision>2</cp:revision>
  <cp:lastPrinted>2017-01-12T23:32:00Z</cp:lastPrinted>
  <dcterms:created xsi:type="dcterms:W3CDTF">2017-05-22T19:49:00Z</dcterms:created>
  <dcterms:modified xsi:type="dcterms:W3CDTF">2017-05-22T19:49:00Z</dcterms:modified>
</cp:coreProperties>
</file>