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93A" w:rsidRDefault="00756F3D">
      <w:bookmarkStart w:id="0" w:name="_GoBack"/>
      <w:bookmarkEnd w:id="0"/>
      <w:r w:rsidRPr="00756F3D">
        <w:rPr>
          <w:noProof/>
        </w:rPr>
        <w:drawing>
          <wp:inline distT="0" distB="0" distL="0" distR="0">
            <wp:extent cx="1707419" cy="648015"/>
            <wp:effectExtent l="0" t="0" r="7620" b="0"/>
            <wp:docPr id="2" name="Picture 2" descr="C:\Users\bnorris\Desktop\LOGOS\business card Design\logo  inv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norris\Desktop\LOGOS\business card Design\logo  invit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794" cy="659543"/>
                    </a:xfrm>
                    <a:prstGeom prst="rect">
                      <a:avLst/>
                    </a:prstGeom>
                    <a:noFill/>
                    <a:ln>
                      <a:noFill/>
                    </a:ln>
                  </pic:spPr>
                </pic:pic>
              </a:graphicData>
            </a:graphic>
          </wp:inline>
        </w:drawing>
      </w:r>
    </w:p>
    <w:p w:rsidR="00756F3D" w:rsidRPr="00065FF5" w:rsidRDefault="00756F3D">
      <w:pPr>
        <w:rPr>
          <w:b/>
        </w:rPr>
      </w:pPr>
    </w:p>
    <w:p w:rsidR="00756F3D" w:rsidRPr="00065FF5" w:rsidRDefault="00756F3D">
      <w:pPr>
        <w:rPr>
          <w:rFonts w:ascii="Tw Cen MT" w:hAnsi="Tw Cen MT"/>
          <w:b/>
          <w:sz w:val="36"/>
          <w:szCs w:val="36"/>
        </w:rPr>
      </w:pPr>
      <w:r w:rsidRPr="00065FF5">
        <w:rPr>
          <w:rFonts w:ascii="Tw Cen MT" w:hAnsi="Tw Cen MT"/>
          <w:b/>
          <w:sz w:val="36"/>
          <w:szCs w:val="36"/>
        </w:rPr>
        <w:t xml:space="preserve">Algorithmic Trading Strategy Overview </w:t>
      </w:r>
    </w:p>
    <w:p w:rsidR="00756F3D" w:rsidRPr="00756F3D" w:rsidRDefault="00756F3D" w:rsidP="00756F3D">
      <w:pPr>
        <w:jc w:val="center"/>
        <w:rPr>
          <w:rFonts w:ascii="Tw Cen MT" w:hAnsi="Tw Cen MT"/>
          <w:sz w:val="28"/>
          <w:szCs w:val="28"/>
        </w:rPr>
      </w:pPr>
    </w:p>
    <w:p w:rsidR="00756F3D" w:rsidRDefault="00756F3D" w:rsidP="00756F3D">
      <w:pPr>
        <w:jc w:val="center"/>
        <w:rPr>
          <w:rFonts w:ascii="Tw Cen MT" w:hAnsi="Tw Cen MT" w:cs="Arial"/>
          <w:color w:val="000000"/>
        </w:rPr>
      </w:pPr>
      <w:r w:rsidRPr="00756F3D">
        <w:rPr>
          <w:rFonts w:ascii="Tw Cen MT" w:hAnsi="Tw Cen MT" w:cs="Arial"/>
          <w:color w:val="000000"/>
          <w:sz w:val="28"/>
          <w:szCs w:val="28"/>
        </w:rPr>
        <w:t>Cuttone &amp; Company has partnered with an award winning algorithmic trading platform and developed a custom suite of algorithms designed to ensure high quality execution.  Our algorithms incorporate our unique NYSE point of sale order types (</w:t>
      </w:r>
      <w:proofErr w:type="spellStart"/>
      <w:r w:rsidRPr="00756F3D">
        <w:rPr>
          <w:rFonts w:ascii="Tw Cen MT" w:hAnsi="Tw Cen MT" w:cs="Arial"/>
          <w:color w:val="000000"/>
          <w:sz w:val="28"/>
          <w:szCs w:val="28"/>
        </w:rPr>
        <w:t>eQuote</w:t>
      </w:r>
      <w:proofErr w:type="spellEnd"/>
      <w:r w:rsidRPr="00756F3D">
        <w:rPr>
          <w:rFonts w:ascii="Tw Cen MT" w:hAnsi="Tw Cen MT" w:cs="Arial"/>
          <w:color w:val="000000"/>
          <w:sz w:val="28"/>
          <w:szCs w:val="28"/>
        </w:rPr>
        <w:t>* / dQuote*) seamlessly into each strategy.  This integration smooth’s workflow, improves execution quality, ensures greater liquidity sourcing, minimizes information leakage and brings a wide variety of Algo and SOR strategies directly into your OMS, EMS, or proprietary trading platform.  In addition, we work in a consultative role to develop custom DMA routes, design algorithms according to client needs or specific requirements, and implement unique routing strategies designed to efficiently touch today’s complex market micro-strategy</w:t>
      </w:r>
      <w:r w:rsidRPr="00756F3D">
        <w:rPr>
          <w:rFonts w:ascii="Tw Cen MT" w:hAnsi="Tw Cen MT" w:cs="Arial"/>
          <w:color w:val="000000"/>
        </w:rPr>
        <w:t>.</w:t>
      </w:r>
    </w:p>
    <w:p w:rsidR="00756F3D" w:rsidRDefault="00756F3D" w:rsidP="00756F3D">
      <w:pPr>
        <w:jc w:val="center"/>
        <w:rPr>
          <w:rFonts w:ascii="Tw Cen MT" w:hAnsi="Tw Cen MT" w:cs="Arial"/>
          <w:color w:val="000000"/>
        </w:rPr>
      </w:pPr>
    </w:p>
    <w:p w:rsidR="00756F3D" w:rsidRDefault="00756F3D" w:rsidP="00756F3D">
      <w:pPr>
        <w:jc w:val="center"/>
        <w:rPr>
          <w:rFonts w:ascii="Tw Cen MT" w:hAnsi="Tw Cen MT" w:cs="Arial"/>
          <w:color w:val="000000"/>
        </w:rPr>
      </w:pPr>
    </w:p>
    <w:p w:rsidR="00756F3D" w:rsidRDefault="00756F3D" w:rsidP="00756F3D">
      <w:pPr>
        <w:jc w:val="center"/>
        <w:rPr>
          <w:rFonts w:ascii="Tw Cen MT" w:hAnsi="Tw Cen MT" w:cs="Arial"/>
          <w:color w:val="000000"/>
          <w:sz w:val="20"/>
          <w:szCs w:val="20"/>
        </w:rPr>
        <w:sectPr w:rsidR="00756F3D" w:rsidSect="00756F3D">
          <w:footerReference w:type="default" r:id="rId8"/>
          <w:pgSz w:w="12240" w:h="15840"/>
          <w:pgMar w:top="720" w:right="720" w:bottom="720" w:left="720" w:header="720" w:footer="720" w:gutter="0"/>
          <w:cols w:space="720"/>
          <w:docGrid w:linePitch="360"/>
        </w:sectPr>
      </w:pPr>
    </w:p>
    <w:p w:rsidR="00756F3D" w:rsidRPr="00065FF5" w:rsidRDefault="00756F3D" w:rsidP="00E70524">
      <w:pPr>
        <w:rPr>
          <w:rFonts w:ascii="Tw Cen MT" w:hAnsi="Tw Cen MT" w:cs="Arial"/>
          <w:b/>
          <w:color w:val="000000"/>
          <w:sz w:val="32"/>
          <w:szCs w:val="32"/>
          <w:u w:val="single"/>
        </w:rPr>
      </w:pPr>
      <w:r w:rsidRPr="00065FF5">
        <w:rPr>
          <w:rFonts w:ascii="Tw Cen MT" w:hAnsi="Tw Cen MT" w:cs="Arial"/>
          <w:b/>
          <w:color w:val="000000"/>
          <w:sz w:val="32"/>
          <w:szCs w:val="32"/>
          <w:u w:val="single"/>
        </w:rPr>
        <w:t>Liquidity Sourcing</w:t>
      </w:r>
    </w:p>
    <w:p w:rsidR="00756F3D" w:rsidRPr="00756F3D" w:rsidRDefault="00756F3D" w:rsidP="00756F3D">
      <w:pPr>
        <w:rPr>
          <w:rFonts w:ascii="Tw Cen MT" w:hAnsi="Tw Cen MT" w:cs="Arial"/>
          <w:color w:val="000000"/>
          <w:sz w:val="24"/>
          <w:szCs w:val="24"/>
          <w:u w:val="single"/>
        </w:rPr>
      </w:pPr>
      <w:r w:rsidRPr="00756F3D">
        <w:rPr>
          <w:rFonts w:ascii="Tw Cen MT" w:hAnsi="Tw Cen MT" w:cs="Arial"/>
          <w:color w:val="000000"/>
          <w:sz w:val="24"/>
          <w:szCs w:val="24"/>
          <w:u w:val="single"/>
        </w:rPr>
        <w:t>SOR</w:t>
      </w:r>
      <w:r w:rsidR="007A43B4" w:rsidRPr="007A43B4">
        <w:rPr>
          <w:rFonts w:ascii="Tw Cen MT" w:hAnsi="Tw Cen MT" w:cs="Arial"/>
          <w:color w:val="000000"/>
          <w:sz w:val="20"/>
          <w:szCs w:val="20"/>
        </w:rPr>
        <w:t>*</w:t>
      </w:r>
    </w:p>
    <w:p w:rsidR="00756F3D" w:rsidRPr="00756F3D" w:rsidRDefault="00756F3D" w:rsidP="00756F3D">
      <w:pPr>
        <w:rPr>
          <w:rFonts w:ascii="Tw Cen MT" w:hAnsi="Tw Cen MT" w:cs="Arial"/>
          <w:color w:val="000000"/>
        </w:rPr>
      </w:pPr>
      <w:r w:rsidRPr="00756F3D">
        <w:rPr>
          <w:rFonts w:ascii="Tw Cen MT" w:hAnsi="Tw Cen MT" w:cs="Arial"/>
          <w:color w:val="000000"/>
        </w:rPr>
        <w:t xml:space="preserve">Optimizes order placement in lit and dark venues to maximize liquidity capture and minimize information leakage. The strategy balances “Urgency to capture the display quote” vs. opportunities to seek out dark liquidity to minimize information leakage and price improvement. </w:t>
      </w:r>
    </w:p>
    <w:p w:rsidR="00756F3D" w:rsidRDefault="00756F3D" w:rsidP="00756F3D">
      <w:pPr>
        <w:rPr>
          <w:rFonts w:ascii="Tw Cen MT" w:hAnsi="Tw Cen MT" w:cs="Arial"/>
          <w:color w:val="000000"/>
          <w:sz w:val="24"/>
          <w:szCs w:val="24"/>
        </w:rPr>
      </w:pPr>
    </w:p>
    <w:p w:rsidR="00756F3D" w:rsidRDefault="003146A8" w:rsidP="00756F3D">
      <w:pPr>
        <w:rPr>
          <w:rFonts w:ascii="Tw Cen MT" w:hAnsi="Tw Cen MT" w:cs="Arial"/>
          <w:color w:val="000000"/>
          <w:sz w:val="24"/>
          <w:szCs w:val="24"/>
          <w:u w:val="single"/>
        </w:rPr>
      </w:pPr>
      <w:r>
        <w:rPr>
          <w:rFonts w:ascii="Tw Cen MT" w:hAnsi="Tw Cen MT" w:cs="Arial"/>
          <w:color w:val="000000"/>
          <w:sz w:val="24"/>
          <w:szCs w:val="24"/>
          <w:u w:val="single"/>
        </w:rPr>
        <w:t>DARK AGG</w:t>
      </w:r>
    </w:p>
    <w:p w:rsidR="003146A8" w:rsidRDefault="00756F3D" w:rsidP="00756F3D">
      <w:pPr>
        <w:rPr>
          <w:rFonts w:ascii="Tw Cen MT" w:hAnsi="Tw Cen MT" w:cs="Arial"/>
          <w:color w:val="000000"/>
        </w:rPr>
      </w:pPr>
      <w:r w:rsidRPr="00756F3D">
        <w:rPr>
          <w:rFonts w:ascii="Tw Cen MT" w:hAnsi="Tw Cen MT" w:cs="Arial"/>
          <w:color w:val="000000"/>
        </w:rPr>
        <w:t>Manages order</w:t>
      </w:r>
      <w:r>
        <w:rPr>
          <w:rFonts w:ascii="Tw Cen MT" w:hAnsi="Tw Cen MT" w:cs="Arial"/>
          <w:color w:val="000000"/>
        </w:rPr>
        <w:t xml:space="preserve"> </w:t>
      </w:r>
      <w:r w:rsidRPr="00756F3D">
        <w:rPr>
          <w:rFonts w:ascii="Tw Cen MT" w:hAnsi="Tw Cen MT" w:cs="Arial"/>
          <w:color w:val="000000"/>
        </w:rPr>
        <w:t>placement in dark</w:t>
      </w:r>
      <w:r>
        <w:rPr>
          <w:rFonts w:ascii="Tw Cen MT" w:hAnsi="Tw Cen MT" w:cs="Arial"/>
          <w:color w:val="000000"/>
        </w:rPr>
        <w:t xml:space="preserve"> </w:t>
      </w:r>
      <w:r w:rsidRPr="00756F3D">
        <w:rPr>
          <w:rFonts w:ascii="Tw Cen MT" w:hAnsi="Tw Cen MT" w:cs="Arial"/>
          <w:color w:val="000000"/>
        </w:rPr>
        <w:t>venues t</w:t>
      </w:r>
      <w:r>
        <w:rPr>
          <w:rFonts w:ascii="Tw Cen MT" w:hAnsi="Tw Cen MT" w:cs="Arial"/>
          <w:color w:val="000000"/>
        </w:rPr>
        <w:t>o</w:t>
      </w:r>
      <w:r w:rsidRPr="00756F3D">
        <w:rPr>
          <w:rFonts w:ascii="Tw Cen MT" w:hAnsi="Tw Cen MT" w:cs="Arial"/>
          <w:color w:val="000000"/>
        </w:rPr>
        <w:t xml:space="preserve"> optimize liquidity capture and reduce information leakage</w:t>
      </w:r>
      <w:r>
        <w:rPr>
          <w:rFonts w:ascii="Tw Cen MT" w:hAnsi="Tw Cen MT" w:cs="Arial"/>
          <w:color w:val="000000"/>
        </w:rPr>
        <w:t xml:space="preserve">. The strategy attempts to first </w:t>
      </w:r>
      <w:r w:rsidR="003146A8">
        <w:rPr>
          <w:rFonts w:ascii="Tw Cen MT" w:hAnsi="Tw Cen MT" w:cs="Arial"/>
          <w:color w:val="000000"/>
        </w:rPr>
        <w:t>discover</w:t>
      </w:r>
      <w:r>
        <w:rPr>
          <w:rFonts w:ascii="Tw Cen MT" w:hAnsi="Tw Cen MT" w:cs="Arial"/>
          <w:color w:val="000000"/>
        </w:rPr>
        <w:t xml:space="preserve"> liquidity by slicing optimally sized orders at various venues, and then rebalances in</w:t>
      </w:r>
      <w:r w:rsidR="003146A8">
        <w:rPr>
          <w:rFonts w:ascii="Tw Cen MT" w:hAnsi="Tw Cen MT" w:cs="Arial"/>
          <w:color w:val="000000"/>
        </w:rPr>
        <w:t>telligently to venues where it has detected liquidity.</w:t>
      </w:r>
    </w:p>
    <w:p w:rsidR="003146A8" w:rsidRDefault="00D77975" w:rsidP="00E70524">
      <w:pPr>
        <w:rPr>
          <w:rFonts w:ascii="Tw Cen MT" w:hAnsi="Tw Cen MT" w:cs="Arial"/>
          <w:b/>
          <w:color w:val="000000"/>
          <w:sz w:val="32"/>
          <w:szCs w:val="32"/>
          <w:u w:val="single"/>
        </w:rPr>
      </w:pPr>
      <w:r>
        <w:rPr>
          <w:rFonts w:ascii="Tw Cen MT" w:hAnsi="Tw Cen MT" w:cs="Arial"/>
          <w:b/>
          <w:color w:val="000000"/>
          <w:sz w:val="32"/>
          <w:szCs w:val="32"/>
          <w:u w:val="single"/>
        </w:rPr>
        <w:t>S</w:t>
      </w:r>
      <w:r w:rsidR="003146A8" w:rsidRPr="00065FF5">
        <w:rPr>
          <w:rFonts w:ascii="Tw Cen MT" w:hAnsi="Tw Cen MT" w:cs="Arial"/>
          <w:b/>
          <w:color w:val="000000"/>
          <w:sz w:val="32"/>
          <w:szCs w:val="32"/>
          <w:u w:val="single"/>
        </w:rPr>
        <w:t>chedule Driven</w:t>
      </w:r>
    </w:p>
    <w:p w:rsidR="003146A8" w:rsidRDefault="003146A8" w:rsidP="00756F3D">
      <w:pPr>
        <w:rPr>
          <w:rFonts w:ascii="Tw Cen MT" w:hAnsi="Tw Cen MT" w:cs="Arial"/>
          <w:color w:val="000000"/>
          <w:sz w:val="24"/>
          <w:szCs w:val="24"/>
          <w:u w:val="single"/>
        </w:rPr>
      </w:pPr>
      <w:r>
        <w:rPr>
          <w:rFonts w:ascii="Tw Cen MT" w:hAnsi="Tw Cen MT" w:cs="Arial"/>
          <w:color w:val="000000"/>
          <w:sz w:val="24"/>
          <w:szCs w:val="24"/>
          <w:u w:val="single"/>
        </w:rPr>
        <w:t>VWAP</w:t>
      </w:r>
      <w:r w:rsidR="007A43B4" w:rsidRPr="007A43B4">
        <w:rPr>
          <w:rFonts w:ascii="Tw Cen MT" w:hAnsi="Tw Cen MT" w:cs="Arial"/>
          <w:color w:val="000000"/>
          <w:sz w:val="20"/>
          <w:szCs w:val="20"/>
        </w:rPr>
        <w:t>*</w:t>
      </w:r>
    </w:p>
    <w:p w:rsidR="003146A8" w:rsidRDefault="003146A8" w:rsidP="00756F3D">
      <w:pPr>
        <w:rPr>
          <w:rFonts w:ascii="Tw Cen MT" w:hAnsi="Tw Cen MT" w:cs="Arial"/>
          <w:color w:val="000000"/>
        </w:rPr>
      </w:pPr>
      <w:r>
        <w:rPr>
          <w:rFonts w:ascii="Tw Cen MT" w:hAnsi="Tw Cen MT" w:cs="Arial"/>
          <w:color w:val="000000"/>
        </w:rPr>
        <w:t xml:space="preserve">Trades using historical volume profile to target VWAP as the benchmark. The strategy can optionally accept </w:t>
      </w:r>
      <w:proofErr w:type="spellStart"/>
      <w:r>
        <w:rPr>
          <w:rFonts w:ascii="Tw Cen MT" w:hAnsi="Tw Cen MT" w:cs="Arial"/>
          <w:color w:val="000000"/>
        </w:rPr>
        <w:t>StartTime</w:t>
      </w:r>
      <w:proofErr w:type="spellEnd"/>
      <w:r>
        <w:rPr>
          <w:rFonts w:ascii="Tw Cen MT" w:hAnsi="Tw Cen MT" w:cs="Arial"/>
          <w:color w:val="000000"/>
        </w:rPr>
        <w:t xml:space="preserve"> and </w:t>
      </w:r>
      <w:proofErr w:type="spellStart"/>
      <w:r>
        <w:rPr>
          <w:rFonts w:ascii="Tw Cen MT" w:hAnsi="Tw Cen MT" w:cs="Arial"/>
          <w:color w:val="000000"/>
        </w:rPr>
        <w:t>EndTime</w:t>
      </w:r>
      <w:proofErr w:type="spellEnd"/>
      <w:r>
        <w:rPr>
          <w:rFonts w:ascii="Tw Cen MT" w:hAnsi="Tw Cen MT" w:cs="Arial"/>
          <w:color w:val="000000"/>
        </w:rPr>
        <w:t xml:space="preserve"> as parameters to schedule trading in a given trading period. The strategy utilizes passive and aggressive trading tactics to achieve liquidity. </w:t>
      </w:r>
    </w:p>
    <w:p w:rsidR="003146A8" w:rsidRDefault="003146A8" w:rsidP="00756F3D">
      <w:pPr>
        <w:rPr>
          <w:rFonts w:ascii="Tw Cen MT" w:hAnsi="Tw Cen MT" w:cs="Arial"/>
          <w:color w:val="000000"/>
        </w:rPr>
      </w:pPr>
    </w:p>
    <w:p w:rsidR="003146A8" w:rsidRPr="003146A8" w:rsidRDefault="003146A8" w:rsidP="00756F3D">
      <w:pPr>
        <w:rPr>
          <w:rFonts w:ascii="Tw Cen MT" w:hAnsi="Tw Cen MT" w:cs="Arial"/>
          <w:color w:val="000000"/>
          <w:sz w:val="24"/>
          <w:szCs w:val="24"/>
          <w:u w:val="single"/>
        </w:rPr>
      </w:pPr>
      <w:r w:rsidRPr="003146A8">
        <w:rPr>
          <w:rFonts w:ascii="Tw Cen MT" w:hAnsi="Tw Cen MT" w:cs="Arial"/>
          <w:color w:val="000000"/>
          <w:sz w:val="24"/>
          <w:szCs w:val="24"/>
          <w:u w:val="single"/>
        </w:rPr>
        <w:t>TWAP</w:t>
      </w:r>
      <w:r w:rsidR="007A43B4" w:rsidRPr="0048761A">
        <w:rPr>
          <w:rFonts w:ascii="Tw Cen MT" w:hAnsi="Tw Cen MT" w:cs="Arial"/>
          <w:color w:val="000000"/>
          <w:sz w:val="20"/>
          <w:szCs w:val="20"/>
        </w:rPr>
        <w:t>*</w:t>
      </w:r>
    </w:p>
    <w:p w:rsidR="003146A8" w:rsidRDefault="003146A8" w:rsidP="00756F3D">
      <w:pPr>
        <w:rPr>
          <w:rFonts w:ascii="Tw Cen MT" w:hAnsi="Tw Cen MT" w:cs="Arial"/>
          <w:color w:val="000000"/>
        </w:rPr>
      </w:pPr>
      <w:r>
        <w:rPr>
          <w:rFonts w:ascii="Tw Cen MT" w:hAnsi="Tw Cen MT" w:cs="Arial"/>
          <w:color w:val="000000"/>
        </w:rPr>
        <w:t xml:space="preserve">Similar to the VWAP strategy with a different schedule. The schedule is a constant rate of trading between the given </w:t>
      </w:r>
      <w:proofErr w:type="spellStart"/>
      <w:r>
        <w:rPr>
          <w:rFonts w:ascii="Tw Cen MT" w:hAnsi="Tw Cen MT" w:cs="Arial"/>
          <w:color w:val="000000"/>
        </w:rPr>
        <w:t>StartTime</w:t>
      </w:r>
      <w:proofErr w:type="spellEnd"/>
      <w:r>
        <w:rPr>
          <w:rFonts w:ascii="Tw Cen MT" w:hAnsi="Tw Cen MT" w:cs="Arial"/>
          <w:color w:val="000000"/>
        </w:rPr>
        <w:t xml:space="preserve"> and </w:t>
      </w:r>
      <w:proofErr w:type="spellStart"/>
      <w:r>
        <w:rPr>
          <w:rFonts w:ascii="Tw Cen MT" w:hAnsi="Tw Cen MT" w:cs="Arial"/>
          <w:color w:val="000000"/>
        </w:rPr>
        <w:t>EndTime</w:t>
      </w:r>
      <w:proofErr w:type="spellEnd"/>
      <w:r>
        <w:rPr>
          <w:rFonts w:ascii="Tw Cen MT" w:hAnsi="Tw Cen MT" w:cs="Arial"/>
          <w:color w:val="000000"/>
        </w:rPr>
        <w:t>.</w:t>
      </w:r>
    </w:p>
    <w:p w:rsidR="003146A8" w:rsidRDefault="003146A8" w:rsidP="00756F3D">
      <w:pPr>
        <w:rPr>
          <w:rFonts w:ascii="Tw Cen MT" w:hAnsi="Tw Cen MT" w:cs="Arial"/>
          <w:color w:val="000000"/>
        </w:rPr>
      </w:pPr>
    </w:p>
    <w:p w:rsidR="003146A8" w:rsidRDefault="003146A8" w:rsidP="00756F3D">
      <w:pPr>
        <w:rPr>
          <w:rFonts w:ascii="Tw Cen MT" w:hAnsi="Tw Cen MT" w:cs="Arial"/>
          <w:color w:val="000000"/>
        </w:rPr>
      </w:pPr>
    </w:p>
    <w:p w:rsidR="003146A8" w:rsidRDefault="003146A8" w:rsidP="00756F3D">
      <w:pPr>
        <w:rPr>
          <w:rFonts w:ascii="Tw Cen MT" w:hAnsi="Tw Cen MT" w:cs="Arial"/>
          <w:color w:val="000000"/>
        </w:rPr>
      </w:pPr>
    </w:p>
    <w:p w:rsidR="003146A8" w:rsidRDefault="00D77975" w:rsidP="00756F3D">
      <w:pPr>
        <w:rPr>
          <w:rFonts w:ascii="Tw Cen MT" w:hAnsi="Tw Cen MT" w:cs="Arial"/>
          <w:b/>
          <w:color w:val="000000"/>
          <w:sz w:val="32"/>
          <w:szCs w:val="32"/>
          <w:u w:val="single"/>
        </w:rPr>
      </w:pPr>
      <w:r>
        <w:rPr>
          <w:rFonts w:ascii="Tw Cen MT" w:hAnsi="Tw Cen MT" w:cs="Arial"/>
          <w:b/>
          <w:color w:val="000000"/>
          <w:sz w:val="32"/>
          <w:szCs w:val="32"/>
          <w:u w:val="single"/>
        </w:rPr>
        <w:t>D</w:t>
      </w:r>
      <w:r w:rsidR="003146A8" w:rsidRPr="00065FF5">
        <w:rPr>
          <w:rFonts w:ascii="Tw Cen MT" w:hAnsi="Tw Cen MT" w:cs="Arial"/>
          <w:b/>
          <w:color w:val="000000"/>
          <w:sz w:val="32"/>
          <w:szCs w:val="32"/>
          <w:u w:val="single"/>
        </w:rPr>
        <w:t>ynamic &amp; Adaptive</w:t>
      </w:r>
    </w:p>
    <w:p w:rsidR="003146A8" w:rsidRDefault="003146A8" w:rsidP="00756F3D">
      <w:pPr>
        <w:rPr>
          <w:rFonts w:ascii="Tw Cen MT" w:hAnsi="Tw Cen MT" w:cs="Arial"/>
          <w:color w:val="000000"/>
          <w:sz w:val="24"/>
          <w:szCs w:val="24"/>
          <w:u w:val="single"/>
        </w:rPr>
      </w:pPr>
      <w:r w:rsidRPr="003146A8">
        <w:rPr>
          <w:rFonts w:ascii="Tw Cen MT" w:hAnsi="Tw Cen MT" w:cs="Arial"/>
          <w:color w:val="000000"/>
          <w:sz w:val="24"/>
          <w:szCs w:val="24"/>
          <w:u w:val="single"/>
        </w:rPr>
        <w:t>POV</w:t>
      </w:r>
      <w:r w:rsidR="007A43B4" w:rsidRPr="007A43B4">
        <w:rPr>
          <w:rFonts w:ascii="Tw Cen MT" w:hAnsi="Tw Cen MT" w:cs="Arial"/>
          <w:color w:val="000000"/>
          <w:sz w:val="20"/>
          <w:szCs w:val="20"/>
        </w:rPr>
        <w:t>*</w:t>
      </w:r>
    </w:p>
    <w:p w:rsidR="003146A8" w:rsidRDefault="003146A8" w:rsidP="00756F3D">
      <w:pPr>
        <w:rPr>
          <w:rFonts w:ascii="Tw Cen MT" w:hAnsi="Tw Cen MT" w:cs="Arial"/>
          <w:color w:val="000000"/>
        </w:rPr>
      </w:pPr>
      <w:r>
        <w:rPr>
          <w:rFonts w:ascii="Tw Cen MT" w:hAnsi="Tw Cen MT" w:cs="Arial"/>
          <w:color w:val="000000"/>
        </w:rPr>
        <w:t xml:space="preserve">Tracks volume from the time the order starts trading and trades according to </w:t>
      </w:r>
      <w:r w:rsidR="00065FF5">
        <w:rPr>
          <w:rFonts w:ascii="Tw Cen MT" w:hAnsi="Tw Cen MT" w:cs="Arial"/>
          <w:color w:val="000000"/>
        </w:rPr>
        <w:t xml:space="preserve">the specified target participation percentage. Continuous optimizations are made as the order trades to target optima price and liquidity goals. </w:t>
      </w:r>
    </w:p>
    <w:p w:rsidR="00065FF5" w:rsidRDefault="00065FF5" w:rsidP="00756F3D">
      <w:pPr>
        <w:rPr>
          <w:rFonts w:ascii="Tw Cen MT" w:hAnsi="Tw Cen MT" w:cs="Arial"/>
          <w:color w:val="000000"/>
        </w:rPr>
      </w:pPr>
    </w:p>
    <w:p w:rsidR="00065FF5" w:rsidRDefault="00065FF5" w:rsidP="00756F3D">
      <w:pPr>
        <w:rPr>
          <w:rFonts w:ascii="Tw Cen MT" w:hAnsi="Tw Cen MT" w:cs="Arial"/>
          <w:color w:val="000000"/>
        </w:rPr>
      </w:pPr>
    </w:p>
    <w:p w:rsidR="00065FF5" w:rsidRDefault="00065FF5" w:rsidP="00756F3D">
      <w:pPr>
        <w:rPr>
          <w:rFonts w:ascii="Tw Cen MT" w:hAnsi="Tw Cen MT" w:cs="Arial"/>
          <w:color w:val="000000"/>
          <w:sz w:val="24"/>
          <w:szCs w:val="24"/>
          <w:u w:val="single"/>
        </w:rPr>
      </w:pPr>
      <w:r w:rsidRPr="00065FF5">
        <w:rPr>
          <w:rFonts w:ascii="Tw Cen MT" w:hAnsi="Tw Cen MT" w:cs="Arial"/>
          <w:color w:val="000000"/>
          <w:sz w:val="24"/>
          <w:szCs w:val="24"/>
          <w:u w:val="single"/>
        </w:rPr>
        <w:t>ARRIVAL PRICE</w:t>
      </w:r>
      <w:r w:rsidR="007A43B4" w:rsidRPr="007A43B4">
        <w:rPr>
          <w:rFonts w:ascii="Tw Cen MT" w:hAnsi="Tw Cen MT" w:cs="Arial"/>
          <w:color w:val="000000"/>
          <w:sz w:val="20"/>
          <w:szCs w:val="20"/>
        </w:rPr>
        <w:t>*</w:t>
      </w:r>
    </w:p>
    <w:p w:rsidR="00065FF5" w:rsidRDefault="00065FF5" w:rsidP="00756F3D">
      <w:pPr>
        <w:rPr>
          <w:rFonts w:ascii="Tw Cen MT" w:hAnsi="Tw Cen MT" w:cs="Arial"/>
          <w:color w:val="000000"/>
        </w:rPr>
      </w:pPr>
      <w:r>
        <w:rPr>
          <w:rFonts w:ascii="Tw Cen MT" w:hAnsi="Tw Cen MT" w:cs="Arial"/>
          <w:color w:val="000000"/>
        </w:rPr>
        <w:t xml:space="preserve">Manages the trade-off between market impact and volatility (price risk) to optimally execute the order. </w:t>
      </w:r>
    </w:p>
    <w:p w:rsidR="0048761A" w:rsidRDefault="0048761A" w:rsidP="00756F3D">
      <w:pPr>
        <w:rPr>
          <w:rFonts w:ascii="Tw Cen MT" w:hAnsi="Tw Cen MT" w:cs="Arial"/>
          <w:color w:val="000000"/>
        </w:rPr>
      </w:pPr>
    </w:p>
    <w:p w:rsidR="0048761A" w:rsidRDefault="0048761A" w:rsidP="00756F3D">
      <w:pPr>
        <w:rPr>
          <w:rFonts w:ascii="Tw Cen MT" w:hAnsi="Tw Cen MT" w:cs="Arial"/>
          <w:color w:val="000000"/>
        </w:rPr>
      </w:pPr>
    </w:p>
    <w:p w:rsidR="00756F3D" w:rsidRPr="00756F3D" w:rsidRDefault="0048761A">
      <w:pPr>
        <w:rPr>
          <w:rFonts w:ascii="Tw Cen MT" w:hAnsi="Tw Cen MT"/>
          <w:sz w:val="32"/>
          <w:szCs w:val="32"/>
        </w:rPr>
      </w:pPr>
      <w:r>
        <w:rPr>
          <w:rFonts w:ascii="Tw Cen MT" w:hAnsi="Tw Cen MT" w:cs="Arial"/>
          <w:color w:val="000000"/>
        </w:rPr>
        <w:t xml:space="preserve">*Indicates </w:t>
      </w:r>
      <w:proofErr w:type="spellStart"/>
      <w:r w:rsidRPr="0048761A">
        <w:rPr>
          <w:rFonts w:ascii="Tw Cen MT" w:hAnsi="Tw Cen MT" w:cs="Arial"/>
          <w:color w:val="000000"/>
        </w:rPr>
        <w:t>eQuote</w:t>
      </w:r>
      <w:proofErr w:type="spellEnd"/>
      <w:r>
        <w:rPr>
          <w:rFonts w:ascii="Tw Cen MT" w:hAnsi="Tw Cen MT" w:cs="Arial"/>
          <w:color w:val="000000"/>
        </w:rPr>
        <w:t xml:space="preserve"> </w:t>
      </w:r>
      <w:r w:rsidRPr="0048761A">
        <w:rPr>
          <w:rFonts w:ascii="Tw Cen MT" w:hAnsi="Tw Cen MT" w:cs="Arial"/>
          <w:color w:val="000000"/>
        </w:rPr>
        <w:t>/</w:t>
      </w:r>
      <w:r>
        <w:rPr>
          <w:rFonts w:ascii="Tw Cen MT" w:hAnsi="Tw Cen MT" w:cs="Arial"/>
          <w:color w:val="000000"/>
        </w:rPr>
        <w:t xml:space="preserve"> dQuote</w:t>
      </w:r>
    </w:p>
    <w:sectPr w:rsidR="00756F3D" w:rsidRPr="00756F3D" w:rsidSect="00756F3D">
      <w:type w:val="continuous"/>
      <w:pgSz w:w="12240" w:h="15840"/>
      <w:pgMar w:top="720" w:right="720" w:bottom="72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D19" w:rsidRDefault="00772D19" w:rsidP="00D77975">
      <w:pPr>
        <w:spacing w:after="0" w:line="240" w:lineRule="auto"/>
      </w:pPr>
      <w:r>
        <w:separator/>
      </w:r>
    </w:p>
  </w:endnote>
  <w:endnote w:type="continuationSeparator" w:id="0">
    <w:p w:rsidR="00772D19" w:rsidRDefault="00772D19" w:rsidP="00D7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975" w:rsidRPr="00D77975" w:rsidRDefault="00D77975" w:rsidP="00D77975">
    <w:pPr>
      <w:pStyle w:val="Footer"/>
    </w:pPr>
    <w:r w:rsidRPr="00D77975">
      <w:t>Contact: Brittaney Norris</w:t>
    </w:r>
  </w:p>
  <w:p w:rsidR="00D77975" w:rsidRPr="00D77975" w:rsidRDefault="00772D19" w:rsidP="00D77975">
    <w:pPr>
      <w:pStyle w:val="Footer"/>
    </w:pPr>
    <w:hyperlink r:id="rId1" w:history="1">
      <w:r w:rsidR="00D77975" w:rsidRPr="00B921D7">
        <w:rPr>
          <w:rStyle w:val="Hyperlink"/>
        </w:rPr>
        <w:t>algosales@cuttone.com</w:t>
      </w:r>
    </w:hyperlink>
    <w:r w:rsidR="00D77975">
      <w:t xml:space="preserve">                                                    </w:t>
    </w:r>
    <w:r w:rsidR="00D77975" w:rsidRPr="00D77975">
      <w:t>11 Wall Street</w:t>
    </w:r>
  </w:p>
  <w:p w:rsidR="00D77975" w:rsidRDefault="00D77975" w:rsidP="00D77975">
    <w:pPr>
      <w:pStyle w:val="Footer"/>
    </w:pPr>
    <w:r w:rsidRPr="00D77975">
      <w:t>646-943-5440</w:t>
    </w:r>
    <w:r>
      <w:t xml:space="preserve">                                                                New York, NY 10005</w:t>
    </w:r>
    <w:r>
      <w:tab/>
      <w:t xml:space="preserve">Cuttone.com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D19" w:rsidRDefault="00772D19" w:rsidP="00D77975">
      <w:pPr>
        <w:spacing w:after="0" w:line="240" w:lineRule="auto"/>
      </w:pPr>
      <w:r>
        <w:separator/>
      </w:r>
    </w:p>
  </w:footnote>
  <w:footnote w:type="continuationSeparator" w:id="0">
    <w:p w:rsidR="00772D19" w:rsidRDefault="00772D19" w:rsidP="00D77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04A2B"/>
    <w:multiLevelType w:val="hybridMultilevel"/>
    <w:tmpl w:val="FB50DE80"/>
    <w:lvl w:ilvl="0" w:tplc="4090586E">
      <w:start w:val="6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C0437F"/>
    <w:multiLevelType w:val="hybridMultilevel"/>
    <w:tmpl w:val="52781BA8"/>
    <w:lvl w:ilvl="0" w:tplc="2D5690AA">
      <w:start w:val="64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3D"/>
    <w:rsid w:val="00065FF5"/>
    <w:rsid w:val="003146A8"/>
    <w:rsid w:val="0048761A"/>
    <w:rsid w:val="00756F3D"/>
    <w:rsid w:val="00772D19"/>
    <w:rsid w:val="007A43B4"/>
    <w:rsid w:val="00903D32"/>
    <w:rsid w:val="00BD7B0B"/>
    <w:rsid w:val="00C3615F"/>
    <w:rsid w:val="00D20534"/>
    <w:rsid w:val="00D77975"/>
    <w:rsid w:val="00E7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D2195E-02AF-47D2-B3C9-BD460010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975"/>
  </w:style>
  <w:style w:type="paragraph" w:styleId="Footer">
    <w:name w:val="footer"/>
    <w:basedOn w:val="Normal"/>
    <w:link w:val="FooterChar"/>
    <w:uiPriority w:val="99"/>
    <w:unhideWhenUsed/>
    <w:rsid w:val="00D77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975"/>
  </w:style>
  <w:style w:type="character" w:styleId="Hyperlink">
    <w:name w:val="Hyperlink"/>
    <w:basedOn w:val="DefaultParagraphFont"/>
    <w:uiPriority w:val="99"/>
    <w:unhideWhenUsed/>
    <w:rsid w:val="00D77975"/>
    <w:rPr>
      <w:color w:val="0563C1" w:themeColor="hyperlink"/>
      <w:u w:val="single"/>
    </w:rPr>
  </w:style>
  <w:style w:type="paragraph" w:styleId="ListParagraph">
    <w:name w:val="List Paragraph"/>
    <w:basedOn w:val="Normal"/>
    <w:uiPriority w:val="34"/>
    <w:qFormat/>
    <w:rsid w:val="0048761A"/>
    <w:pPr>
      <w:ind w:left="720"/>
      <w:contextualSpacing/>
    </w:pPr>
  </w:style>
  <w:style w:type="paragraph" w:styleId="BalloonText">
    <w:name w:val="Balloon Text"/>
    <w:basedOn w:val="Normal"/>
    <w:link w:val="BalloonTextChar"/>
    <w:uiPriority w:val="99"/>
    <w:semiHidden/>
    <w:unhideWhenUsed/>
    <w:rsid w:val="00E70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5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6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lgosales@cutt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Brittaney</dc:creator>
  <cp:keywords/>
  <dc:description/>
  <cp:lastModifiedBy>Norris, Brittaney</cp:lastModifiedBy>
  <cp:revision>2</cp:revision>
  <cp:lastPrinted>2016-07-05T20:55:00Z</cp:lastPrinted>
  <dcterms:created xsi:type="dcterms:W3CDTF">2016-07-08T12:32:00Z</dcterms:created>
  <dcterms:modified xsi:type="dcterms:W3CDTF">2016-07-08T12:32:00Z</dcterms:modified>
</cp:coreProperties>
</file>