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0D5" w:rsidRDefault="00822D5E" w:rsidP="003A10D5">
      <w:r>
        <w:t>Trades Guru T.O</w:t>
      </w:r>
      <w:r w:rsidR="003A10D5">
        <w:t xml:space="preserve"> - Who We Are...</w:t>
      </w:r>
    </w:p>
    <w:p w:rsidR="003A10D5" w:rsidRDefault="003A10D5" w:rsidP="003A10D5">
      <w:r>
        <w:t xml:space="preserve"> </w:t>
      </w:r>
      <w:r>
        <w:tab/>
        <w:t xml:space="preserve"> </w:t>
      </w:r>
    </w:p>
    <w:p w:rsidR="003A10D5" w:rsidRDefault="003A10D5" w:rsidP="003A10D5">
      <w:r>
        <w:t xml:space="preserve">The </w:t>
      </w:r>
      <w:r w:rsidR="00822D5E">
        <w:t xml:space="preserve">Trades Guru T.O </w:t>
      </w:r>
      <w:r>
        <w:t xml:space="preserve">Program is a </w:t>
      </w:r>
      <w:proofErr w:type="gramStart"/>
      <w:r>
        <w:t>twelve week</w:t>
      </w:r>
      <w:proofErr w:type="gramEnd"/>
      <w:r>
        <w:t xml:space="preserve"> skill and employment-based training program that links young men and women from under-resourced communities to apprenticeship career opportunities in the construction industry that they might otherwise have difficulty accessing.</w:t>
      </w:r>
    </w:p>
    <w:p w:rsidR="003A10D5" w:rsidRDefault="003A10D5" w:rsidP="003A10D5"/>
    <w:p w:rsidR="003A10D5" w:rsidRDefault="003A10D5" w:rsidP="003A10D5">
      <w:r>
        <w:t xml:space="preserve">Participants are exposed to multiple construction trades over the course of the program. There is hands-on learning at various affiliate training centres located across the GTA in addition to jobsite visits. Participants are provided with leadership and mentoring from seasoned construction workers with years of work experience and learn valuable skill sets which build self-confidence and promote positive self-awareness. </w:t>
      </w:r>
    </w:p>
    <w:p w:rsidR="003A10D5" w:rsidRDefault="003A10D5" w:rsidP="003A10D5"/>
    <w:p w:rsidR="003A10D5" w:rsidRDefault="00822D5E" w:rsidP="003A10D5">
      <w:r>
        <w:t xml:space="preserve">Trades Guru T.O </w:t>
      </w:r>
      <w:r w:rsidR="003A10D5">
        <w:t>can link youth to twenty-eight different unions and the many major contractors connected to the Central Ontario Building Trades.</w:t>
      </w:r>
    </w:p>
    <w:p w:rsidR="001F1C67" w:rsidRDefault="003A10D5" w:rsidP="003A10D5">
      <w:r>
        <w:t xml:space="preserve"> </w:t>
      </w:r>
      <w:r>
        <w:tab/>
      </w:r>
    </w:p>
    <w:p w:rsidR="003A10D5" w:rsidRDefault="003A10D5" w:rsidP="003A10D5"/>
    <w:p w:rsidR="003A10D5" w:rsidRDefault="00822D5E" w:rsidP="003A10D5">
      <w:r>
        <w:t xml:space="preserve">Trades Guru T.O </w:t>
      </w:r>
      <w:r w:rsidR="003A10D5">
        <w:t>Program is a skill and employment-based training program within the construction industry offering apprenticeship career opportunities to the youth of under-resourced neighbourhoods in our communities.</w:t>
      </w:r>
    </w:p>
    <w:p w:rsidR="003A10D5" w:rsidRDefault="003A10D5" w:rsidP="003A10D5"/>
    <w:p w:rsidR="003A10D5" w:rsidRDefault="003A10D5" w:rsidP="003A10D5">
      <w:r>
        <w:t xml:space="preserve">Without this program </w:t>
      </w:r>
      <w:bookmarkStart w:id="0" w:name="_GoBack"/>
      <w:bookmarkEnd w:id="0"/>
      <w:r w:rsidR="00035302">
        <w:t>these youths</w:t>
      </w:r>
      <w:r>
        <w:t xml:space="preserve"> would not have access to the gainful employment opportunities that the unionized construction sector offers.</w:t>
      </w:r>
    </w:p>
    <w:p w:rsidR="003A10D5" w:rsidRDefault="003A10D5" w:rsidP="003A10D5"/>
    <w:p w:rsidR="003A10D5" w:rsidRDefault="003A10D5" w:rsidP="003A10D5">
      <w:r>
        <w:t>The Central Ontario Building Trades has a history dating back to 1943. Currently, the COBT represents over 80,000 skilled trades men and women in central Ontario.</w:t>
      </w:r>
    </w:p>
    <w:p w:rsidR="003A10D5" w:rsidRDefault="003A10D5" w:rsidP="003A10D5">
      <w:r>
        <w:t>Get trained and get hired! Skilled Trades workers are in high demand. The Centre for Skills Development &amp; Training’s Skilled Trades Training Programs get students trained for rewarding careers in less than half the time of similar college training programs.</w:t>
      </w:r>
    </w:p>
    <w:p w:rsidR="003A10D5" w:rsidRDefault="003A10D5" w:rsidP="003A10D5">
      <w:r>
        <w:t>Why Choose Us?</w:t>
      </w:r>
    </w:p>
    <w:p w:rsidR="003A10D5" w:rsidRDefault="003A10D5" w:rsidP="003A10D5">
      <w:r>
        <w:t>Shorter programs with over 70% hands-on training gets students workforce ready earlier than most other programs.</w:t>
      </w:r>
    </w:p>
    <w:p w:rsidR="003A10D5" w:rsidRDefault="003A10D5" w:rsidP="003A10D5">
      <w:r>
        <w:t>Over 17,000 square feet of fully-equipped shop space provides students with a full-scale experience.</w:t>
      </w:r>
    </w:p>
    <w:p w:rsidR="003A10D5" w:rsidRDefault="003A10D5" w:rsidP="003A10D5">
      <w:r>
        <w:t>Students are trained by experienced instructors who work in the field and know the industry.</w:t>
      </w:r>
    </w:p>
    <w:p w:rsidR="003A10D5" w:rsidRDefault="003A10D5" w:rsidP="003A10D5">
      <w:r>
        <w:lastRenderedPageBreak/>
        <w:t>Tuition includes tools, textbooks, on-site parking, personal protective equipment and safety certifications – No hidden fees!</w:t>
      </w:r>
    </w:p>
    <w:p w:rsidR="003A10D5" w:rsidRDefault="003A10D5" w:rsidP="003A10D5">
      <w:r>
        <w:t>Develop essential technical abilities, critical employability skills and gain experience to excel as skilled workers.</w:t>
      </w:r>
    </w:p>
    <w:p w:rsidR="003A10D5" w:rsidRDefault="003A10D5" w:rsidP="003A10D5">
      <w:r>
        <w:t>Successful graduates receive personalized job search assistance to help them land their first job in the trade!</w:t>
      </w:r>
    </w:p>
    <w:p w:rsidR="003A10D5" w:rsidRDefault="003A10D5" w:rsidP="003A10D5"/>
    <w:p w:rsidR="003A10D5" w:rsidRDefault="003A10D5" w:rsidP="003A10D5">
      <w:r>
        <w:t xml:space="preserve">The Centre for Skills Development &amp; Training (The Centre) along with Gary Allan High School (GAHS) provides adult and continuing education services. The Centre evolved from the adult education department of the </w:t>
      </w:r>
      <w:proofErr w:type="spellStart"/>
      <w:r>
        <w:t>Halton</w:t>
      </w:r>
      <w:proofErr w:type="spellEnd"/>
      <w:r>
        <w:t xml:space="preserve"> District School Board to become a financially independent, not-for-profit organization, delivering free government-funded programs to help people at all stages of life (youth, job seekers and newcomers to Canada) get on a path to career success. Services include one-on-one job coaching, workshops, settlement services, ESL classes and funded and fee-based pre-apprenticeship skilled trades programs. The Centre also works closely with employers, providing free, professional recruitment with access to pre-screened candidates, financial wage and training incentives and customized skilled trades training.</w:t>
      </w:r>
    </w:p>
    <w:p w:rsidR="003A10D5" w:rsidRDefault="003A10D5" w:rsidP="003A10D5">
      <w:r>
        <w:t xml:space="preserve"> </w:t>
      </w:r>
    </w:p>
    <w:p w:rsidR="003A10D5" w:rsidRDefault="003A10D5" w:rsidP="003A10D5">
      <w:r>
        <w:t xml:space="preserve">GAHS offers adult, alternative and continuing education credit-based programs, working with The Centre to collectively serve over 25,000 people annually through multiple sites in </w:t>
      </w:r>
      <w:proofErr w:type="spellStart"/>
      <w:r>
        <w:t>Halton</w:t>
      </w:r>
      <w:proofErr w:type="spellEnd"/>
      <w:r>
        <w:t xml:space="preserve"> Region and Mississauga. Together, GAHS and The Centre extend the reach of the HDSB to support people of all ages, bridging the gap for learners between high school and their next steps – continued education, training or employment.</w:t>
      </w:r>
    </w:p>
    <w:p w:rsidR="003A10D5" w:rsidRDefault="003A10D5" w:rsidP="003A10D5">
      <w:r>
        <w:t>Our mission is to provide people with opportunities to build a better future.</w:t>
      </w:r>
    </w:p>
    <w:p w:rsidR="003A10D5" w:rsidRDefault="003A10D5" w:rsidP="003A10D5">
      <w:r>
        <w:t>Our vision is to be the recognized leader in career and workforce development, in support of strong communities.</w:t>
      </w:r>
    </w:p>
    <w:p w:rsidR="003A10D5" w:rsidRDefault="003A10D5" w:rsidP="003A10D5"/>
    <w:p w:rsidR="003A10D5" w:rsidRDefault="003A10D5" w:rsidP="003A10D5">
      <w:r>
        <w:t>Build an online registration system</w:t>
      </w:r>
    </w:p>
    <w:p w:rsidR="003A10D5" w:rsidRDefault="003A10D5" w:rsidP="003A10D5">
      <w:r>
        <w:t>Link to t</w:t>
      </w:r>
      <w:r w:rsidRPr="003A10D5">
        <w:t>he Self-Assessment Quiz</w:t>
      </w:r>
    </w:p>
    <w:p w:rsidR="00822D5E" w:rsidRDefault="00822D5E" w:rsidP="00822D5E">
      <w:pPr>
        <w:rPr>
          <w:b/>
          <w:sz w:val="40"/>
        </w:rPr>
      </w:pPr>
    </w:p>
    <w:p w:rsidR="00822D5E" w:rsidRDefault="00822D5E" w:rsidP="003A10D5">
      <w:pPr>
        <w:jc w:val="center"/>
        <w:rPr>
          <w:b/>
          <w:sz w:val="40"/>
        </w:rPr>
      </w:pPr>
    </w:p>
    <w:p w:rsidR="00822D5E" w:rsidRDefault="00822D5E" w:rsidP="003A10D5">
      <w:pPr>
        <w:jc w:val="center"/>
        <w:rPr>
          <w:b/>
          <w:sz w:val="40"/>
        </w:rPr>
      </w:pPr>
    </w:p>
    <w:p w:rsidR="003A10D5" w:rsidRPr="003A10D5" w:rsidRDefault="003A10D5" w:rsidP="003A10D5">
      <w:pPr>
        <w:shd w:val="clear" w:color="auto" w:fill="FFFFFF"/>
        <w:spacing w:after="150" w:line="279" w:lineRule="atLeast"/>
        <w:textAlignment w:val="baseline"/>
        <w:rPr>
          <w:rFonts w:ascii="inherit" w:eastAsia="Times New Roman" w:hAnsi="inherit" w:cs="Times New Roman"/>
          <w:color w:val="000000"/>
          <w:sz w:val="18"/>
          <w:szCs w:val="18"/>
          <w:lang w:eastAsia="en-CA"/>
        </w:rPr>
      </w:pPr>
    </w:p>
    <w:sectPr w:rsidR="003A10D5" w:rsidRPr="003A10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0D5"/>
    <w:rsid w:val="00035302"/>
    <w:rsid w:val="003A10D5"/>
    <w:rsid w:val="00822D5E"/>
    <w:rsid w:val="00964C8F"/>
    <w:rsid w:val="00F87E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FE1E0"/>
  <w15:chartTrackingRefBased/>
  <w15:docId w15:val="{22B51DDB-F0CA-4856-848B-A38BFB50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105301">
      <w:bodyDiv w:val="1"/>
      <w:marLeft w:val="0"/>
      <w:marRight w:val="0"/>
      <w:marTop w:val="0"/>
      <w:marBottom w:val="0"/>
      <w:divBdr>
        <w:top w:val="none" w:sz="0" w:space="0" w:color="auto"/>
        <w:left w:val="none" w:sz="0" w:space="0" w:color="auto"/>
        <w:bottom w:val="none" w:sz="0" w:space="0" w:color="auto"/>
        <w:right w:val="none" w:sz="0" w:space="0" w:color="auto"/>
      </w:divBdr>
    </w:div>
    <w:div w:id="899706975">
      <w:bodyDiv w:val="1"/>
      <w:marLeft w:val="0"/>
      <w:marRight w:val="0"/>
      <w:marTop w:val="0"/>
      <w:marBottom w:val="0"/>
      <w:divBdr>
        <w:top w:val="none" w:sz="0" w:space="0" w:color="auto"/>
        <w:left w:val="none" w:sz="0" w:space="0" w:color="auto"/>
        <w:bottom w:val="none" w:sz="0" w:space="0" w:color="auto"/>
        <w:right w:val="none" w:sz="0" w:space="0" w:color="auto"/>
      </w:divBdr>
      <w:divsChild>
        <w:div w:id="1625186463">
          <w:marLeft w:val="-150"/>
          <w:marRight w:val="-150"/>
          <w:marTop w:val="0"/>
          <w:marBottom w:val="0"/>
          <w:divBdr>
            <w:top w:val="none" w:sz="0" w:space="0" w:color="auto"/>
            <w:left w:val="none" w:sz="0" w:space="0" w:color="auto"/>
            <w:bottom w:val="none" w:sz="0" w:space="0" w:color="auto"/>
            <w:right w:val="none" w:sz="0" w:space="0" w:color="auto"/>
          </w:divBdr>
          <w:divsChild>
            <w:div w:id="1871340356">
              <w:marLeft w:val="0"/>
              <w:marRight w:val="0"/>
              <w:marTop w:val="0"/>
              <w:marBottom w:val="0"/>
              <w:divBdr>
                <w:top w:val="none" w:sz="0" w:space="0" w:color="auto"/>
                <w:left w:val="none" w:sz="0" w:space="0" w:color="auto"/>
                <w:bottom w:val="none" w:sz="0" w:space="0" w:color="auto"/>
                <w:right w:val="none" w:sz="0" w:space="0" w:color="auto"/>
              </w:divBdr>
              <w:divsChild>
                <w:div w:id="1006638124">
                  <w:marLeft w:val="0"/>
                  <w:marRight w:val="0"/>
                  <w:marTop w:val="0"/>
                  <w:marBottom w:val="0"/>
                  <w:divBdr>
                    <w:top w:val="single" w:sz="2" w:space="0" w:color="E6E6E6"/>
                    <w:left w:val="single" w:sz="2" w:space="0" w:color="E6E6E6"/>
                    <w:bottom w:val="single" w:sz="2" w:space="0" w:color="E6E6E6"/>
                    <w:right w:val="single" w:sz="2" w:space="0" w:color="E6E6E6"/>
                  </w:divBdr>
                  <w:divsChild>
                    <w:div w:id="145636482">
                      <w:marLeft w:val="225"/>
                      <w:marRight w:val="225"/>
                      <w:marTop w:val="150"/>
                      <w:marBottom w:val="45"/>
                      <w:divBdr>
                        <w:top w:val="none" w:sz="0" w:space="0" w:color="auto"/>
                        <w:left w:val="none" w:sz="0" w:space="0" w:color="auto"/>
                        <w:bottom w:val="none" w:sz="0" w:space="0" w:color="auto"/>
                        <w:right w:val="none" w:sz="0" w:space="0" w:color="auto"/>
                      </w:divBdr>
                    </w:div>
                    <w:div w:id="1678843693">
                      <w:marLeft w:val="0"/>
                      <w:marRight w:val="0"/>
                      <w:marTop w:val="0"/>
                      <w:marBottom w:val="75"/>
                      <w:divBdr>
                        <w:top w:val="none" w:sz="0" w:space="0" w:color="auto"/>
                        <w:left w:val="none" w:sz="0" w:space="0" w:color="auto"/>
                        <w:bottom w:val="none" w:sz="0" w:space="0" w:color="auto"/>
                        <w:right w:val="none" w:sz="0" w:space="0" w:color="auto"/>
                      </w:divBdr>
                    </w:div>
                    <w:div w:id="630601240">
                      <w:marLeft w:val="0"/>
                      <w:marRight w:val="0"/>
                      <w:marTop w:val="0"/>
                      <w:marBottom w:val="150"/>
                      <w:divBdr>
                        <w:top w:val="single" w:sz="12" w:space="0" w:color="FFFFFF"/>
                        <w:left w:val="single" w:sz="2" w:space="0" w:color="FFFFFF"/>
                        <w:bottom w:val="single" w:sz="12" w:space="0" w:color="FFFFFF"/>
                        <w:right w:val="single" w:sz="2" w:space="0" w:color="FFFFFF"/>
                      </w:divBdr>
                    </w:div>
                  </w:divsChild>
                </w:div>
              </w:divsChild>
            </w:div>
            <w:div w:id="1987392138">
              <w:marLeft w:val="0"/>
              <w:marRight w:val="0"/>
              <w:marTop w:val="0"/>
              <w:marBottom w:val="0"/>
              <w:divBdr>
                <w:top w:val="none" w:sz="0" w:space="0" w:color="auto"/>
                <w:left w:val="none" w:sz="0" w:space="0" w:color="auto"/>
                <w:bottom w:val="none" w:sz="0" w:space="0" w:color="auto"/>
                <w:right w:val="none" w:sz="0" w:space="0" w:color="auto"/>
              </w:divBdr>
              <w:divsChild>
                <w:div w:id="1598058110">
                  <w:marLeft w:val="0"/>
                  <w:marRight w:val="0"/>
                  <w:marTop w:val="0"/>
                  <w:marBottom w:val="0"/>
                  <w:divBdr>
                    <w:top w:val="single" w:sz="2" w:space="0" w:color="E6E6E6"/>
                    <w:left w:val="single" w:sz="2" w:space="0" w:color="E6E6E6"/>
                    <w:bottom w:val="single" w:sz="2" w:space="0" w:color="E6E6E6"/>
                    <w:right w:val="single" w:sz="2" w:space="0" w:color="E6E6E6"/>
                  </w:divBdr>
                  <w:divsChild>
                    <w:div w:id="1505899294">
                      <w:marLeft w:val="225"/>
                      <w:marRight w:val="225"/>
                      <w:marTop w:val="150"/>
                      <w:marBottom w:val="45"/>
                      <w:divBdr>
                        <w:top w:val="none" w:sz="0" w:space="0" w:color="auto"/>
                        <w:left w:val="none" w:sz="0" w:space="0" w:color="auto"/>
                        <w:bottom w:val="none" w:sz="0" w:space="0" w:color="auto"/>
                        <w:right w:val="none" w:sz="0" w:space="0" w:color="auto"/>
                      </w:divBdr>
                    </w:div>
                    <w:div w:id="256987918">
                      <w:marLeft w:val="0"/>
                      <w:marRight w:val="0"/>
                      <w:marTop w:val="0"/>
                      <w:marBottom w:val="75"/>
                      <w:divBdr>
                        <w:top w:val="none" w:sz="0" w:space="0" w:color="auto"/>
                        <w:left w:val="none" w:sz="0" w:space="0" w:color="auto"/>
                        <w:bottom w:val="none" w:sz="0" w:space="0" w:color="auto"/>
                        <w:right w:val="none" w:sz="0" w:space="0" w:color="auto"/>
                      </w:divBdr>
                    </w:div>
                    <w:div w:id="1847548883">
                      <w:marLeft w:val="0"/>
                      <w:marRight w:val="0"/>
                      <w:marTop w:val="0"/>
                      <w:marBottom w:val="150"/>
                      <w:divBdr>
                        <w:top w:val="single" w:sz="12" w:space="0" w:color="FFFFFF"/>
                        <w:left w:val="single" w:sz="2" w:space="0" w:color="FFFFFF"/>
                        <w:bottom w:val="single" w:sz="12" w:space="0" w:color="FFFFFF"/>
                        <w:right w:val="single" w:sz="2" w:space="0" w:color="FFFFFF"/>
                      </w:divBdr>
                    </w:div>
                  </w:divsChild>
                </w:div>
              </w:divsChild>
            </w:div>
            <w:div w:id="1953855455">
              <w:marLeft w:val="0"/>
              <w:marRight w:val="0"/>
              <w:marTop w:val="0"/>
              <w:marBottom w:val="0"/>
              <w:divBdr>
                <w:top w:val="none" w:sz="0" w:space="0" w:color="auto"/>
                <w:left w:val="none" w:sz="0" w:space="0" w:color="auto"/>
                <w:bottom w:val="none" w:sz="0" w:space="0" w:color="auto"/>
                <w:right w:val="none" w:sz="0" w:space="0" w:color="auto"/>
              </w:divBdr>
              <w:divsChild>
                <w:div w:id="469834420">
                  <w:marLeft w:val="0"/>
                  <w:marRight w:val="0"/>
                  <w:marTop w:val="0"/>
                  <w:marBottom w:val="0"/>
                  <w:divBdr>
                    <w:top w:val="single" w:sz="2" w:space="0" w:color="E6E6E6"/>
                    <w:left w:val="single" w:sz="2" w:space="0" w:color="E6E6E6"/>
                    <w:bottom w:val="single" w:sz="2" w:space="0" w:color="E6E6E6"/>
                    <w:right w:val="single" w:sz="2" w:space="0" w:color="E6E6E6"/>
                  </w:divBdr>
                  <w:divsChild>
                    <w:div w:id="1600139714">
                      <w:marLeft w:val="225"/>
                      <w:marRight w:val="225"/>
                      <w:marTop w:val="150"/>
                      <w:marBottom w:val="45"/>
                      <w:divBdr>
                        <w:top w:val="none" w:sz="0" w:space="0" w:color="auto"/>
                        <w:left w:val="none" w:sz="0" w:space="0" w:color="auto"/>
                        <w:bottom w:val="none" w:sz="0" w:space="0" w:color="auto"/>
                        <w:right w:val="none" w:sz="0" w:space="0" w:color="auto"/>
                      </w:divBdr>
                    </w:div>
                    <w:div w:id="29230104">
                      <w:marLeft w:val="0"/>
                      <w:marRight w:val="0"/>
                      <w:marTop w:val="0"/>
                      <w:marBottom w:val="75"/>
                      <w:divBdr>
                        <w:top w:val="none" w:sz="0" w:space="0" w:color="auto"/>
                        <w:left w:val="none" w:sz="0" w:space="0" w:color="auto"/>
                        <w:bottom w:val="none" w:sz="0" w:space="0" w:color="auto"/>
                        <w:right w:val="none" w:sz="0" w:space="0" w:color="auto"/>
                      </w:divBdr>
                    </w:div>
                    <w:div w:id="566690497">
                      <w:marLeft w:val="0"/>
                      <w:marRight w:val="0"/>
                      <w:marTop w:val="0"/>
                      <w:marBottom w:val="150"/>
                      <w:divBdr>
                        <w:top w:val="single" w:sz="12" w:space="0" w:color="FFFFFF"/>
                        <w:left w:val="single" w:sz="2" w:space="0" w:color="FFFFFF"/>
                        <w:bottom w:val="single" w:sz="12" w:space="0" w:color="FFFFFF"/>
                        <w:right w:val="single" w:sz="2" w:space="0" w:color="FFFFFF"/>
                      </w:divBdr>
                    </w:div>
                  </w:divsChild>
                </w:div>
              </w:divsChild>
            </w:div>
            <w:div w:id="541750349">
              <w:marLeft w:val="0"/>
              <w:marRight w:val="0"/>
              <w:marTop w:val="0"/>
              <w:marBottom w:val="0"/>
              <w:divBdr>
                <w:top w:val="none" w:sz="0" w:space="0" w:color="auto"/>
                <w:left w:val="none" w:sz="0" w:space="0" w:color="auto"/>
                <w:bottom w:val="none" w:sz="0" w:space="0" w:color="auto"/>
                <w:right w:val="none" w:sz="0" w:space="0" w:color="auto"/>
              </w:divBdr>
              <w:divsChild>
                <w:div w:id="1688824043">
                  <w:marLeft w:val="0"/>
                  <w:marRight w:val="0"/>
                  <w:marTop w:val="0"/>
                  <w:marBottom w:val="0"/>
                  <w:divBdr>
                    <w:top w:val="single" w:sz="2" w:space="0" w:color="E6E6E6"/>
                    <w:left w:val="single" w:sz="2" w:space="0" w:color="E6E6E6"/>
                    <w:bottom w:val="single" w:sz="2" w:space="0" w:color="E6E6E6"/>
                    <w:right w:val="single" w:sz="2" w:space="0" w:color="E6E6E6"/>
                  </w:divBdr>
                  <w:divsChild>
                    <w:div w:id="1322544759">
                      <w:marLeft w:val="225"/>
                      <w:marRight w:val="225"/>
                      <w:marTop w:val="150"/>
                      <w:marBottom w:val="45"/>
                      <w:divBdr>
                        <w:top w:val="none" w:sz="0" w:space="0" w:color="auto"/>
                        <w:left w:val="none" w:sz="0" w:space="0" w:color="auto"/>
                        <w:bottom w:val="none" w:sz="0" w:space="0" w:color="auto"/>
                        <w:right w:val="none" w:sz="0" w:space="0" w:color="auto"/>
                      </w:divBdr>
                    </w:div>
                    <w:div w:id="2145996945">
                      <w:marLeft w:val="0"/>
                      <w:marRight w:val="0"/>
                      <w:marTop w:val="0"/>
                      <w:marBottom w:val="75"/>
                      <w:divBdr>
                        <w:top w:val="none" w:sz="0" w:space="0" w:color="auto"/>
                        <w:left w:val="none" w:sz="0" w:space="0" w:color="auto"/>
                        <w:bottom w:val="none" w:sz="0" w:space="0" w:color="auto"/>
                        <w:right w:val="none" w:sz="0" w:space="0" w:color="auto"/>
                      </w:divBdr>
                    </w:div>
                    <w:div w:id="1506744411">
                      <w:marLeft w:val="0"/>
                      <w:marRight w:val="0"/>
                      <w:marTop w:val="0"/>
                      <w:marBottom w:val="150"/>
                      <w:divBdr>
                        <w:top w:val="single" w:sz="12" w:space="0" w:color="FFFFFF"/>
                        <w:left w:val="single" w:sz="2" w:space="0" w:color="FFFFFF"/>
                        <w:bottom w:val="single" w:sz="12" w:space="0" w:color="FFFFFF"/>
                        <w:right w:val="single" w:sz="2" w:space="0" w:color="FFFFFF"/>
                      </w:divBdr>
                    </w:div>
                  </w:divsChild>
                </w:div>
              </w:divsChild>
            </w:div>
          </w:divsChild>
        </w:div>
        <w:div w:id="1031498077">
          <w:marLeft w:val="-150"/>
          <w:marRight w:val="-150"/>
          <w:marTop w:val="0"/>
          <w:marBottom w:val="0"/>
          <w:divBdr>
            <w:top w:val="none" w:sz="0" w:space="0" w:color="auto"/>
            <w:left w:val="none" w:sz="0" w:space="0" w:color="auto"/>
            <w:bottom w:val="none" w:sz="0" w:space="0" w:color="auto"/>
            <w:right w:val="none" w:sz="0" w:space="0" w:color="auto"/>
          </w:divBdr>
          <w:divsChild>
            <w:div w:id="2040857172">
              <w:marLeft w:val="0"/>
              <w:marRight w:val="0"/>
              <w:marTop w:val="0"/>
              <w:marBottom w:val="0"/>
              <w:divBdr>
                <w:top w:val="none" w:sz="0" w:space="0" w:color="auto"/>
                <w:left w:val="none" w:sz="0" w:space="0" w:color="auto"/>
                <w:bottom w:val="none" w:sz="0" w:space="0" w:color="auto"/>
                <w:right w:val="none" w:sz="0" w:space="0" w:color="auto"/>
              </w:divBdr>
              <w:divsChild>
                <w:div w:id="1407150150">
                  <w:marLeft w:val="0"/>
                  <w:marRight w:val="0"/>
                  <w:marTop w:val="0"/>
                  <w:marBottom w:val="0"/>
                  <w:divBdr>
                    <w:top w:val="single" w:sz="2" w:space="0" w:color="E6E6E6"/>
                    <w:left w:val="single" w:sz="2" w:space="0" w:color="E6E6E6"/>
                    <w:bottom w:val="single" w:sz="2" w:space="0" w:color="E6E6E6"/>
                    <w:right w:val="single" w:sz="2" w:space="0" w:color="E6E6E6"/>
                  </w:divBdr>
                  <w:divsChild>
                    <w:div w:id="1583835383">
                      <w:marLeft w:val="225"/>
                      <w:marRight w:val="225"/>
                      <w:marTop w:val="150"/>
                      <w:marBottom w:val="45"/>
                      <w:divBdr>
                        <w:top w:val="none" w:sz="0" w:space="0" w:color="auto"/>
                        <w:left w:val="none" w:sz="0" w:space="0" w:color="auto"/>
                        <w:bottom w:val="none" w:sz="0" w:space="0" w:color="auto"/>
                        <w:right w:val="none" w:sz="0" w:space="0" w:color="auto"/>
                      </w:divBdr>
                    </w:div>
                    <w:div w:id="2045252827">
                      <w:marLeft w:val="0"/>
                      <w:marRight w:val="0"/>
                      <w:marTop w:val="0"/>
                      <w:marBottom w:val="75"/>
                      <w:divBdr>
                        <w:top w:val="none" w:sz="0" w:space="0" w:color="auto"/>
                        <w:left w:val="none" w:sz="0" w:space="0" w:color="auto"/>
                        <w:bottom w:val="none" w:sz="0" w:space="0" w:color="auto"/>
                        <w:right w:val="none" w:sz="0" w:space="0" w:color="auto"/>
                      </w:divBdr>
                    </w:div>
                    <w:div w:id="726607920">
                      <w:marLeft w:val="0"/>
                      <w:marRight w:val="0"/>
                      <w:marTop w:val="0"/>
                      <w:marBottom w:val="150"/>
                      <w:divBdr>
                        <w:top w:val="single" w:sz="12" w:space="0" w:color="FFFFFF"/>
                        <w:left w:val="single" w:sz="2" w:space="0" w:color="FFFFFF"/>
                        <w:bottom w:val="single" w:sz="12" w:space="0" w:color="FFFFFF"/>
                        <w:right w:val="single" w:sz="2" w:space="0" w:color="FFFFFF"/>
                      </w:divBdr>
                    </w:div>
                  </w:divsChild>
                </w:div>
              </w:divsChild>
            </w:div>
            <w:div w:id="1704863062">
              <w:marLeft w:val="0"/>
              <w:marRight w:val="0"/>
              <w:marTop w:val="0"/>
              <w:marBottom w:val="0"/>
              <w:divBdr>
                <w:top w:val="none" w:sz="0" w:space="0" w:color="auto"/>
                <w:left w:val="none" w:sz="0" w:space="0" w:color="auto"/>
                <w:bottom w:val="none" w:sz="0" w:space="0" w:color="auto"/>
                <w:right w:val="none" w:sz="0" w:space="0" w:color="auto"/>
              </w:divBdr>
              <w:divsChild>
                <w:div w:id="1846902098">
                  <w:marLeft w:val="0"/>
                  <w:marRight w:val="0"/>
                  <w:marTop w:val="0"/>
                  <w:marBottom w:val="0"/>
                  <w:divBdr>
                    <w:top w:val="single" w:sz="2" w:space="0" w:color="E6E6E6"/>
                    <w:left w:val="single" w:sz="2" w:space="0" w:color="E6E6E6"/>
                    <w:bottom w:val="single" w:sz="2" w:space="0" w:color="E6E6E6"/>
                    <w:right w:val="single" w:sz="2" w:space="0" w:color="E6E6E6"/>
                  </w:divBdr>
                  <w:divsChild>
                    <w:div w:id="1782996296">
                      <w:marLeft w:val="225"/>
                      <w:marRight w:val="225"/>
                      <w:marTop w:val="150"/>
                      <w:marBottom w:val="45"/>
                      <w:divBdr>
                        <w:top w:val="none" w:sz="0" w:space="0" w:color="auto"/>
                        <w:left w:val="none" w:sz="0" w:space="0" w:color="auto"/>
                        <w:bottom w:val="none" w:sz="0" w:space="0" w:color="auto"/>
                        <w:right w:val="none" w:sz="0" w:space="0" w:color="auto"/>
                      </w:divBdr>
                    </w:div>
                    <w:div w:id="1040279764">
                      <w:marLeft w:val="0"/>
                      <w:marRight w:val="0"/>
                      <w:marTop w:val="0"/>
                      <w:marBottom w:val="75"/>
                      <w:divBdr>
                        <w:top w:val="none" w:sz="0" w:space="0" w:color="auto"/>
                        <w:left w:val="none" w:sz="0" w:space="0" w:color="auto"/>
                        <w:bottom w:val="none" w:sz="0" w:space="0" w:color="auto"/>
                        <w:right w:val="none" w:sz="0" w:space="0" w:color="auto"/>
                      </w:divBdr>
                    </w:div>
                    <w:div w:id="710492331">
                      <w:marLeft w:val="0"/>
                      <w:marRight w:val="0"/>
                      <w:marTop w:val="0"/>
                      <w:marBottom w:val="150"/>
                      <w:divBdr>
                        <w:top w:val="single" w:sz="12" w:space="0" w:color="FFFFFF"/>
                        <w:left w:val="single" w:sz="2" w:space="0" w:color="FFFFFF"/>
                        <w:bottom w:val="single" w:sz="12" w:space="0" w:color="FFFFFF"/>
                        <w:right w:val="single" w:sz="2" w:space="0" w:color="FFFFFF"/>
                      </w:divBdr>
                    </w:div>
                  </w:divsChild>
                </w:div>
              </w:divsChild>
            </w:div>
            <w:div w:id="1513758303">
              <w:marLeft w:val="0"/>
              <w:marRight w:val="0"/>
              <w:marTop w:val="0"/>
              <w:marBottom w:val="0"/>
              <w:divBdr>
                <w:top w:val="none" w:sz="0" w:space="0" w:color="auto"/>
                <w:left w:val="none" w:sz="0" w:space="0" w:color="auto"/>
                <w:bottom w:val="none" w:sz="0" w:space="0" w:color="auto"/>
                <w:right w:val="none" w:sz="0" w:space="0" w:color="auto"/>
              </w:divBdr>
              <w:divsChild>
                <w:div w:id="278683073">
                  <w:marLeft w:val="0"/>
                  <w:marRight w:val="0"/>
                  <w:marTop w:val="0"/>
                  <w:marBottom w:val="0"/>
                  <w:divBdr>
                    <w:top w:val="single" w:sz="2" w:space="0" w:color="E6E6E6"/>
                    <w:left w:val="single" w:sz="2" w:space="0" w:color="E6E6E6"/>
                    <w:bottom w:val="single" w:sz="2" w:space="0" w:color="E6E6E6"/>
                    <w:right w:val="single" w:sz="2" w:space="0" w:color="E6E6E6"/>
                  </w:divBdr>
                  <w:divsChild>
                    <w:div w:id="1548686290">
                      <w:marLeft w:val="225"/>
                      <w:marRight w:val="225"/>
                      <w:marTop w:val="150"/>
                      <w:marBottom w:val="45"/>
                      <w:divBdr>
                        <w:top w:val="none" w:sz="0" w:space="0" w:color="auto"/>
                        <w:left w:val="none" w:sz="0" w:space="0" w:color="auto"/>
                        <w:bottom w:val="none" w:sz="0" w:space="0" w:color="auto"/>
                        <w:right w:val="none" w:sz="0" w:space="0" w:color="auto"/>
                      </w:divBdr>
                    </w:div>
                    <w:div w:id="1822382815">
                      <w:marLeft w:val="0"/>
                      <w:marRight w:val="0"/>
                      <w:marTop w:val="0"/>
                      <w:marBottom w:val="75"/>
                      <w:divBdr>
                        <w:top w:val="none" w:sz="0" w:space="0" w:color="auto"/>
                        <w:left w:val="none" w:sz="0" w:space="0" w:color="auto"/>
                        <w:bottom w:val="none" w:sz="0" w:space="0" w:color="auto"/>
                        <w:right w:val="none" w:sz="0" w:space="0" w:color="auto"/>
                      </w:divBdr>
                    </w:div>
                    <w:div w:id="954211737">
                      <w:marLeft w:val="0"/>
                      <w:marRight w:val="0"/>
                      <w:marTop w:val="0"/>
                      <w:marBottom w:val="150"/>
                      <w:divBdr>
                        <w:top w:val="single" w:sz="12" w:space="0" w:color="FFFFFF"/>
                        <w:left w:val="single" w:sz="2" w:space="0" w:color="FFFFFF"/>
                        <w:bottom w:val="single" w:sz="12" w:space="0" w:color="FFFFFF"/>
                        <w:right w:val="single" w:sz="2" w:space="0" w:color="FFFFFF"/>
                      </w:divBdr>
                    </w:div>
                  </w:divsChild>
                </w:div>
              </w:divsChild>
            </w:div>
          </w:divsChild>
        </w:div>
      </w:divsChild>
    </w:div>
    <w:div w:id="1482193820">
      <w:bodyDiv w:val="1"/>
      <w:marLeft w:val="0"/>
      <w:marRight w:val="0"/>
      <w:marTop w:val="0"/>
      <w:marBottom w:val="0"/>
      <w:divBdr>
        <w:top w:val="none" w:sz="0" w:space="0" w:color="auto"/>
        <w:left w:val="none" w:sz="0" w:space="0" w:color="auto"/>
        <w:bottom w:val="none" w:sz="0" w:space="0" w:color="auto"/>
        <w:right w:val="none" w:sz="0" w:space="0" w:color="auto"/>
      </w:divBdr>
    </w:div>
    <w:div w:id="1508322715">
      <w:bodyDiv w:val="1"/>
      <w:marLeft w:val="0"/>
      <w:marRight w:val="0"/>
      <w:marTop w:val="0"/>
      <w:marBottom w:val="0"/>
      <w:divBdr>
        <w:top w:val="none" w:sz="0" w:space="0" w:color="auto"/>
        <w:left w:val="none" w:sz="0" w:space="0" w:color="auto"/>
        <w:bottom w:val="none" w:sz="0" w:space="0" w:color="auto"/>
        <w:right w:val="none" w:sz="0" w:space="0" w:color="auto"/>
      </w:divBdr>
    </w:div>
    <w:div w:id="203858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Teddy Fordjour</dc:creator>
  <cp:keywords/>
  <dc:description/>
  <cp:lastModifiedBy>Teddy Fordjour</cp:lastModifiedBy>
  <cp:revision>3</cp:revision>
  <dcterms:created xsi:type="dcterms:W3CDTF">2016-04-06T16:47:00Z</dcterms:created>
  <dcterms:modified xsi:type="dcterms:W3CDTF">2016-04-24T14:54:00Z</dcterms:modified>
</cp:coreProperties>
</file>