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szCs w:val="28"/>
          <w:rtl w:val="0"/>
        </w:rPr>
        <w:t xml:space="preserve">Xero - Starter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This course is an entry level course suitable for anyone who is new to Xero who deals with the many invoices sent and received by a business. By the end of the course you will have learned how to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and amend your clients contacts details.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a list of inventory (stock) bought and sold.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Create,edit, approve and send new sales and purchase invoices.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Create repeating invoices for regular clients.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Allocate payments made and received to your invoices raised in Xero.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3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tblGridChange w:id="0">
          <w:tblGrid>
            <w:gridCol w:w="315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Course Details 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Duration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3.5 hours AM or PM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Cost    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£270.00 plus VAT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  <w:t xml:space="preserve">Requirements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Access to PC &amp;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          Internet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 xml:space="preserve">                                                                                         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Course Content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1  -  Sales Invoices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Raising new invoices  (inc. Xero Files)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Contacts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Inventory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Draft and Approved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Copy and Repeat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Amendments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Allocating payments received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2  -  Purchase Invoices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Raising New Invoices (inc. Xero Files)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Contacts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 </w:t>
        <w:tab/>
        <w:t xml:space="preserve">Inventory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Draft and Approved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Copy and Repeat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Amendments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Paying Invoices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Fixed Assets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Expense Claims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3   - Credit notes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Raising new credit notes  (inc Xero Files)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Allocating credit notes to invoices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ab/>
        <w:t xml:space="preserve">Allocating refund payments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